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outlineLvl w:val="9"/>
        <w:rPr>
          <w:rFonts w:hint="eastAsia" w:ascii="方正小标宋简体" w:hAnsi="方正小标宋简体" w:eastAsia="方正小标宋简体" w:cs="方正小标宋简体"/>
          <w:sz w:val="44"/>
          <w:szCs w:val="44"/>
          <w:highlight w:val="none"/>
          <w:lang w:val="en-US" w:eastAsia="zh-CN"/>
        </w:rPr>
      </w:pPr>
      <w:bookmarkStart w:id="0" w:name="_Toc301789207"/>
      <w:r>
        <w:rPr>
          <w:rFonts w:hint="eastAsia" w:ascii="方正小标宋简体" w:hAnsi="方正小标宋简体" w:eastAsia="方正小标宋简体" w:cs="方正小标宋简体"/>
          <w:sz w:val="44"/>
          <w:szCs w:val="44"/>
          <w:highlight w:val="none"/>
        </w:rPr>
        <w:t>四川蜀物兴川物流发展有限公司</w:t>
      </w:r>
    </w:p>
    <w:p>
      <w:pPr>
        <w:spacing w:line="600" w:lineRule="exact"/>
        <w:ind w:left="0" w:leftChars="0" w:right="160" w:rightChars="50" w:firstLine="0" w:firstLineChars="0"/>
        <w:jc w:val="center"/>
        <w:outlineLvl w:val="9"/>
        <w:rPr>
          <w:rFonts w:hint="default" w:ascii="方正小标宋简体" w:hAnsi="黑体" w:eastAsia="方正小标宋简体"/>
          <w:sz w:val="44"/>
          <w:szCs w:val="44"/>
          <w:highlight w:val="none"/>
          <w:lang w:val="en-US"/>
        </w:rPr>
      </w:pPr>
      <w:r>
        <w:rPr>
          <w:rFonts w:hint="eastAsia" w:ascii="方正小标宋简体" w:hAnsi="黑体" w:eastAsia="方正小标宋简体" w:cs="Times New Roman"/>
          <w:sz w:val="44"/>
          <w:szCs w:val="44"/>
          <w:highlight w:val="none"/>
          <w:lang w:val="en-US" w:eastAsia="zh-CN"/>
        </w:rPr>
        <w:t>达州绕城高速西段钢材</w:t>
      </w:r>
      <w:r>
        <w:rPr>
          <w:rFonts w:hint="eastAsia" w:ascii="方正小标宋简体" w:hAnsi="黑体" w:eastAsia="方正小标宋简体"/>
          <w:sz w:val="44"/>
          <w:szCs w:val="44"/>
          <w:highlight w:val="none"/>
          <w:lang w:val="en-US" w:eastAsia="zh-CN"/>
        </w:rPr>
        <w:t>公开询价采购项目</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宋体" w:eastAsia="仿宋_GB2312"/>
          <w:b/>
          <w:sz w:val="28"/>
          <w:szCs w:val="28"/>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bookmarkEnd w:id="0"/>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hint="eastAsia" w:ascii="方正小标宋简体" w:hAnsi="微软雅黑" w:eastAsia="方正小标宋简体"/>
          <w:bCs/>
          <w:spacing w:val="-4"/>
          <w:sz w:val="72"/>
          <w:szCs w:val="72"/>
          <w:highlight w:val="none"/>
          <w:lang w:val="en-US" w:eastAsia="zh-CN"/>
        </w:rPr>
      </w:pPr>
      <w:r>
        <w:rPr>
          <w:rFonts w:hint="eastAsia" w:ascii="方正小标宋简体" w:hAnsi="微软雅黑" w:eastAsia="方正小标宋简体"/>
          <w:bCs/>
          <w:spacing w:val="-4"/>
          <w:sz w:val="72"/>
          <w:szCs w:val="72"/>
          <w:highlight w:val="none"/>
          <w:lang w:val="en-US" w:eastAsia="zh-CN"/>
        </w:rPr>
        <w:t>采</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hint="eastAsia" w:ascii="方正小标宋简体" w:hAnsi="微软雅黑" w:eastAsia="方正小标宋简体"/>
          <w:bCs/>
          <w:spacing w:val="-4"/>
          <w:sz w:val="72"/>
          <w:szCs w:val="72"/>
          <w:highlight w:val="none"/>
          <w:lang w:eastAsia="zh-CN"/>
        </w:rPr>
      </w:pPr>
      <w:r>
        <w:rPr>
          <w:rFonts w:hint="eastAsia" w:ascii="方正小标宋简体" w:hAnsi="微软雅黑" w:eastAsia="方正小标宋简体"/>
          <w:bCs/>
          <w:spacing w:val="-4"/>
          <w:sz w:val="72"/>
          <w:szCs w:val="72"/>
          <w:highlight w:val="none"/>
          <w:lang w:val="en-US" w:eastAsia="zh-CN"/>
        </w:rPr>
        <w:t>购</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件</w:t>
      </w:r>
    </w:p>
    <w:p>
      <w:pPr>
        <w:adjustRightInd w:val="0"/>
        <w:snapToGrid w:val="0"/>
        <w:spacing w:line="276" w:lineRule="auto"/>
        <w:ind w:right="160" w:rightChars="50"/>
        <w:jc w:val="center"/>
        <w:outlineLvl w:val="9"/>
        <w:rPr>
          <w:rFonts w:ascii="仿宋_GB2312" w:hAnsi="宋体" w:eastAsia="仿宋_GB2312"/>
          <w:b/>
          <w:sz w:val="24"/>
          <w:highlight w:val="none"/>
        </w:rPr>
      </w:pPr>
    </w:p>
    <w:p>
      <w:pPr>
        <w:adjustRightInd w:val="0"/>
        <w:snapToGrid w:val="0"/>
        <w:spacing w:line="276" w:lineRule="auto"/>
        <w:ind w:right="160" w:rightChars="50"/>
        <w:jc w:val="center"/>
        <w:outlineLvl w:val="9"/>
        <w:rPr>
          <w:rFonts w:ascii="仿宋_GB2312" w:hAnsi="宋体" w:eastAsia="仿宋_GB2312"/>
          <w:b/>
          <w:sz w:val="28"/>
          <w:szCs w:val="28"/>
          <w:highlight w:val="none"/>
        </w:rPr>
      </w:pPr>
    </w:p>
    <w:p>
      <w:pPr>
        <w:adjustRightInd w:val="0"/>
        <w:snapToGrid w:val="0"/>
        <w:spacing w:line="276" w:lineRule="auto"/>
        <w:ind w:right="160" w:rightChars="50"/>
        <w:jc w:val="center"/>
        <w:outlineLvl w:val="9"/>
        <w:rPr>
          <w:rFonts w:ascii="仿宋_GB2312" w:hAnsi="宋体" w:eastAsia="仿宋_GB2312"/>
          <w:b/>
          <w:sz w:val="28"/>
          <w:szCs w:val="28"/>
          <w:highlight w:val="none"/>
        </w:rPr>
      </w:pPr>
    </w:p>
    <w:p>
      <w:pPr>
        <w:adjustRightInd w:val="0"/>
        <w:snapToGrid w:val="0"/>
        <w:spacing w:line="276" w:lineRule="auto"/>
        <w:ind w:right="160" w:rightChars="50"/>
        <w:jc w:val="center"/>
        <w:outlineLvl w:val="9"/>
        <w:rPr>
          <w:rFonts w:ascii="仿宋_GB2312" w:hAnsi="宋体" w:eastAsia="仿宋_GB2312"/>
          <w:b/>
          <w:sz w:val="28"/>
          <w:szCs w:val="28"/>
          <w:highlight w:val="none"/>
        </w:rPr>
      </w:pPr>
    </w:p>
    <w:p>
      <w:pPr>
        <w:adjustRightInd w:val="0"/>
        <w:snapToGrid w:val="0"/>
        <w:spacing w:line="276" w:lineRule="auto"/>
        <w:ind w:right="160" w:rightChars="50"/>
        <w:jc w:val="center"/>
        <w:outlineLvl w:val="9"/>
        <w:rPr>
          <w:rFonts w:ascii="仿宋_GB2312" w:hAnsi="宋体" w:eastAsia="仿宋_GB2312"/>
          <w:b/>
          <w:sz w:val="28"/>
          <w:szCs w:val="28"/>
          <w:highlight w:val="none"/>
        </w:rPr>
      </w:pPr>
    </w:p>
    <w:p>
      <w:pPr>
        <w:adjustRightInd w:val="0"/>
        <w:snapToGrid w:val="0"/>
        <w:spacing w:line="276" w:lineRule="auto"/>
        <w:ind w:right="160" w:rightChars="50"/>
        <w:jc w:val="center"/>
        <w:outlineLvl w:val="9"/>
        <w:rPr>
          <w:rFonts w:ascii="仿宋_GB2312" w:hAnsi="宋体" w:eastAsia="仿宋_GB2312"/>
          <w:b/>
          <w:sz w:val="28"/>
          <w:szCs w:val="28"/>
          <w:highlight w:val="none"/>
        </w:rPr>
      </w:pPr>
    </w:p>
    <w:p>
      <w:pPr>
        <w:adjustRightInd w:val="0"/>
        <w:snapToGrid w:val="0"/>
        <w:spacing w:line="276" w:lineRule="auto"/>
        <w:ind w:right="160" w:rightChars="50"/>
        <w:jc w:val="center"/>
        <w:outlineLvl w:val="9"/>
        <w:rPr>
          <w:rFonts w:ascii="仿宋_GB2312" w:hAnsi="宋体" w:eastAsia="仿宋_GB2312"/>
          <w:b/>
          <w:sz w:val="28"/>
          <w:szCs w:val="28"/>
          <w:highlight w:val="none"/>
        </w:rPr>
      </w:pPr>
    </w:p>
    <w:p>
      <w:pPr>
        <w:adjustRightInd w:val="0"/>
        <w:snapToGrid w:val="0"/>
        <w:spacing w:line="276" w:lineRule="auto"/>
        <w:ind w:right="160" w:rightChars="50"/>
        <w:outlineLvl w:val="9"/>
        <w:rPr>
          <w:rFonts w:ascii="仿宋_GB2312" w:hAnsi="宋体" w:eastAsia="仿宋_GB2312"/>
          <w:sz w:val="24"/>
          <w:highlight w:val="none"/>
        </w:rPr>
      </w:pPr>
    </w:p>
    <w:p>
      <w:pPr>
        <w:adjustRightInd w:val="0"/>
        <w:snapToGrid w:val="0"/>
        <w:spacing w:line="600" w:lineRule="exact"/>
        <w:ind w:right="160" w:rightChars="50"/>
        <w:jc w:val="center"/>
        <w:outlineLvl w:val="9"/>
        <w:rPr>
          <w:rFonts w:hint="eastAsia" w:ascii="方正小标宋简体" w:hAnsi="宋体" w:eastAsia="方正小标宋简体"/>
          <w:sz w:val="32"/>
          <w:szCs w:val="32"/>
          <w:highlight w:val="none"/>
        </w:rPr>
      </w:pPr>
      <w:r>
        <w:rPr>
          <w:rFonts w:hint="eastAsia" w:ascii="方正小标宋简体" w:hAnsi="宋体" w:eastAsia="方正小标宋简体"/>
          <w:sz w:val="32"/>
          <w:szCs w:val="32"/>
          <w:highlight w:val="none"/>
        </w:rPr>
        <w:t>四川蜀物</w:t>
      </w:r>
      <w:r>
        <w:rPr>
          <w:rFonts w:hint="eastAsia" w:ascii="方正小标宋简体" w:hAnsi="宋体" w:eastAsia="方正小标宋简体"/>
          <w:sz w:val="32"/>
          <w:szCs w:val="32"/>
          <w:highlight w:val="none"/>
          <w:lang w:val="en-US" w:eastAsia="zh-CN"/>
        </w:rPr>
        <w:t>兴川物流发展</w:t>
      </w:r>
      <w:r>
        <w:rPr>
          <w:rFonts w:hint="eastAsia" w:ascii="方正小标宋简体" w:hAnsi="宋体" w:eastAsia="方正小标宋简体"/>
          <w:sz w:val="32"/>
          <w:szCs w:val="32"/>
          <w:highlight w:val="none"/>
        </w:rPr>
        <w:t>有限公司</w:t>
      </w:r>
    </w:p>
    <w:p>
      <w:pPr>
        <w:adjustRightInd w:val="0"/>
        <w:snapToGrid w:val="0"/>
        <w:spacing w:line="600" w:lineRule="exact"/>
        <w:ind w:right="160" w:rightChars="50"/>
        <w:jc w:val="center"/>
        <w:outlineLvl w:val="9"/>
        <w:rPr>
          <w:rFonts w:ascii="方正小标宋简体" w:hAnsi="宋体" w:eastAsia="方正小标宋简体"/>
          <w:sz w:val="32"/>
          <w:szCs w:val="32"/>
          <w:highlight w:val="none"/>
        </w:rPr>
      </w:pPr>
      <w:r>
        <w:rPr>
          <w:rFonts w:hint="eastAsia" w:ascii="方正小标宋简体" w:hAnsi="宋体" w:eastAsia="方正小标宋简体"/>
          <w:sz w:val="32"/>
          <w:szCs w:val="32"/>
          <w:highlight w:val="none"/>
        </w:rPr>
        <w:t>202</w:t>
      </w:r>
      <w:r>
        <w:rPr>
          <w:rFonts w:hint="eastAsia" w:ascii="方正小标宋简体" w:hAnsi="宋体" w:eastAsia="方正小标宋简体"/>
          <w:sz w:val="32"/>
          <w:szCs w:val="32"/>
          <w:highlight w:val="none"/>
          <w:lang w:val="en-US" w:eastAsia="zh-CN"/>
        </w:rPr>
        <w:t>4</w:t>
      </w:r>
      <w:r>
        <w:rPr>
          <w:rFonts w:hint="eastAsia" w:ascii="方正小标宋简体" w:hAnsi="宋体" w:eastAsia="方正小标宋简体"/>
          <w:sz w:val="32"/>
          <w:szCs w:val="32"/>
          <w:highlight w:val="none"/>
        </w:rPr>
        <w:t>年</w:t>
      </w:r>
      <w:r>
        <w:rPr>
          <w:rFonts w:hint="eastAsia" w:ascii="方正小标宋简体" w:hAnsi="宋体" w:eastAsia="方正小标宋简体"/>
          <w:sz w:val="32"/>
          <w:szCs w:val="32"/>
          <w:highlight w:val="none"/>
          <w:lang w:val="en-US" w:eastAsia="zh-CN"/>
        </w:rPr>
        <w:t>2</w:t>
      </w:r>
      <w:r>
        <w:rPr>
          <w:rFonts w:hint="eastAsia" w:ascii="方正小标宋简体" w:hAnsi="宋体" w:eastAsia="方正小标宋简体"/>
          <w:sz w:val="32"/>
          <w:szCs w:val="32"/>
          <w:highlight w:val="none"/>
        </w:rPr>
        <w:t>月</w:t>
      </w:r>
    </w:p>
    <w:p>
      <w:pPr>
        <w:widowControl/>
        <w:spacing w:line="360" w:lineRule="auto"/>
        <w:jc w:val="left"/>
        <w:outlineLvl w:val="9"/>
        <w:rPr>
          <w:rFonts w:ascii="仿宋_GB2312" w:hAnsi="宋体" w:eastAsia="仿宋_GB2312"/>
          <w:b/>
          <w:kern w:val="0"/>
          <w:sz w:val="28"/>
          <w:szCs w:val="28"/>
          <w:highlight w:val="none"/>
        </w:rPr>
        <w:sectPr>
          <w:pgSz w:w="11905" w:h="16838"/>
          <w:pgMar w:top="1440" w:right="1083" w:bottom="1440" w:left="1083" w:header="850" w:footer="992" w:gutter="0"/>
          <w:pgBorders>
            <w:top w:val="none" w:sz="0" w:space="0"/>
            <w:left w:val="none" w:sz="0" w:space="0"/>
            <w:bottom w:val="none" w:sz="0" w:space="0"/>
            <w:right w:val="none" w:sz="0" w:space="0"/>
          </w:pgBorders>
          <w:pgNumType w:start="0"/>
          <w:cols w:space="0" w:num="1"/>
          <w:rtlGutter w:val="0"/>
          <w:docGrid w:type="lines" w:linePitch="436" w:charSpace="0"/>
        </w:sectPr>
      </w:pPr>
    </w:p>
    <w:p>
      <w:pPr>
        <w:rPr>
          <w:rFonts w:hint="eastAsia"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br w:type="page"/>
      </w:r>
    </w:p>
    <w:sdt>
      <w:sdtPr>
        <w:rPr>
          <w:rFonts w:ascii="宋体" w:hAnsi="宋体" w:eastAsia="宋体" w:cs="Times New Roman"/>
          <w:kern w:val="2"/>
          <w:sz w:val="21"/>
          <w:szCs w:val="24"/>
          <w:highlight w:val="none"/>
          <w:lang w:val="en-US" w:eastAsia="zh-CN" w:bidi="ar-SA"/>
        </w:rPr>
        <w:id w:val="147466467"/>
        <w15:color w:val="DBDBDB"/>
        <w:docPartObj>
          <w:docPartGallery w:val="Table of Contents"/>
          <w:docPartUnique/>
        </w:docPartObj>
      </w:sdtPr>
      <w:sdtEndPr>
        <w:rPr>
          <w:rFonts w:hint="eastAsia" w:ascii="方正小标宋简体" w:hAnsi="方正小标宋简体" w:eastAsia="方正小标宋简体" w:cs="方正小标宋简体"/>
          <w:kern w:val="2"/>
          <w:sz w:val="32"/>
          <w:szCs w:val="32"/>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目录</w:t>
          </w:r>
        </w:p>
        <w:p>
          <w:pPr>
            <w:pStyle w:val="15"/>
            <w:tabs>
              <w:tab w:val="right" w:leader="dot" w:pos="9739"/>
            </w:tabs>
            <w:rPr>
              <w:highlight w:val="none"/>
            </w:rPr>
          </w:pPr>
          <w:r>
            <w:rPr>
              <w:rFonts w:hint="eastAsia" w:ascii="方正小标宋简体" w:hAnsi="方正小标宋简体" w:eastAsia="方正小标宋简体" w:cs="方正小标宋简体"/>
              <w:sz w:val="32"/>
              <w:szCs w:val="32"/>
              <w:highlight w:val="none"/>
              <w:lang w:val="en-US" w:eastAsia="zh-CN"/>
            </w:rPr>
            <w:fldChar w:fldCharType="begin"/>
          </w:r>
          <w:r>
            <w:rPr>
              <w:rFonts w:hint="eastAsia" w:ascii="方正小标宋简体" w:hAnsi="方正小标宋简体" w:eastAsia="方正小标宋简体" w:cs="方正小标宋简体"/>
              <w:sz w:val="32"/>
              <w:szCs w:val="32"/>
              <w:highlight w:val="none"/>
              <w:lang w:val="en-US" w:eastAsia="zh-CN"/>
            </w:rPr>
            <w:instrText xml:space="preserve">TOC \o "1-3" \h \u </w:instrText>
          </w:r>
          <w:r>
            <w:rPr>
              <w:rFonts w:hint="eastAsia" w:ascii="方正小标宋简体" w:hAnsi="方正小标宋简体" w:eastAsia="方正小标宋简体" w:cs="方正小标宋简体"/>
              <w:sz w:val="32"/>
              <w:szCs w:val="32"/>
              <w:highlight w:val="none"/>
              <w:lang w:val="en-US" w:eastAsia="zh-CN"/>
            </w:rPr>
            <w:fldChar w:fldCharType="separate"/>
          </w:r>
          <w:r>
            <w:rPr>
              <w:rFonts w:hint="eastAsia" w:ascii="方正小标宋简体" w:hAnsi="方正小标宋简体" w:eastAsia="方正小标宋简体" w:cs="方正小标宋简体"/>
              <w:szCs w:val="32"/>
              <w:highlight w:val="none"/>
              <w:lang w:val="en-US" w:eastAsia="zh-CN"/>
            </w:rPr>
            <w:fldChar w:fldCharType="begin"/>
          </w:r>
          <w:r>
            <w:rPr>
              <w:rFonts w:hint="eastAsia" w:ascii="方正小标宋简体" w:hAnsi="方正小标宋简体" w:eastAsia="方正小标宋简体" w:cs="方正小标宋简体"/>
              <w:szCs w:val="32"/>
              <w:highlight w:val="none"/>
              <w:lang w:val="en-US" w:eastAsia="zh-CN"/>
            </w:rPr>
            <w:instrText xml:space="preserve"> HYPERLINK \l _Toc32466 </w:instrText>
          </w:r>
          <w:r>
            <w:rPr>
              <w:rFonts w:hint="eastAsia" w:ascii="方正小标宋简体" w:hAnsi="方正小标宋简体" w:eastAsia="方正小标宋简体" w:cs="方正小标宋简体"/>
              <w:szCs w:val="32"/>
              <w:highlight w:val="none"/>
              <w:lang w:val="en-US" w:eastAsia="zh-CN"/>
            </w:rPr>
            <w:fldChar w:fldCharType="separate"/>
          </w:r>
          <w:r>
            <w:rPr>
              <w:rFonts w:hint="eastAsia" w:ascii="方正小标宋简体" w:hAnsi="方正小标宋简体" w:eastAsia="方正小标宋简体" w:cs="方正小标宋简体"/>
              <w:szCs w:val="32"/>
              <w:highlight w:val="none"/>
              <w:lang w:val="en-US" w:eastAsia="zh-CN"/>
            </w:rPr>
            <w:t>第一章 询价公告</w:t>
          </w:r>
          <w:r>
            <w:rPr>
              <w:highlight w:val="none"/>
            </w:rPr>
            <w:tab/>
          </w:r>
          <w:r>
            <w:rPr>
              <w:highlight w:val="none"/>
            </w:rPr>
            <w:fldChar w:fldCharType="begin"/>
          </w:r>
          <w:r>
            <w:rPr>
              <w:highlight w:val="none"/>
            </w:rPr>
            <w:instrText xml:space="preserve"> PAGEREF _Toc32466 \h </w:instrText>
          </w:r>
          <w:r>
            <w:rPr>
              <w:highlight w:val="none"/>
            </w:rPr>
            <w:fldChar w:fldCharType="separate"/>
          </w:r>
          <w:r>
            <w:rPr>
              <w:highlight w:val="none"/>
            </w:rPr>
            <w:t>4</w:t>
          </w:r>
          <w:r>
            <w:rPr>
              <w:highlight w:val="none"/>
            </w:rPr>
            <w:fldChar w:fldCharType="end"/>
          </w:r>
          <w:r>
            <w:rPr>
              <w:rFonts w:hint="eastAsia" w:ascii="方正小标宋简体" w:hAnsi="方正小标宋简体" w:eastAsia="方正小标宋简体" w:cs="方正小标宋简体"/>
              <w:szCs w:val="32"/>
              <w:highlight w:val="none"/>
              <w:lang w:val="en-US" w:eastAsia="zh-CN"/>
            </w:rPr>
            <w:fldChar w:fldCharType="end"/>
          </w:r>
        </w:p>
        <w:p>
          <w:pPr>
            <w:pStyle w:val="17"/>
            <w:tabs>
              <w:tab w:val="right" w:leader="dot" w:pos="9739"/>
            </w:tabs>
            <w:rPr>
              <w:highlight w:val="none"/>
            </w:rPr>
          </w:pPr>
          <w:r>
            <w:rPr>
              <w:rFonts w:hint="eastAsia" w:ascii="方正小标宋简体" w:hAnsi="方正小标宋简体" w:eastAsia="方正小标宋简体" w:cs="方正小标宋简体"/>
              <w:szCs w:val="32"/>
              <w:highlight w:val="none"/>
              <w:lang w:val="en-US" w:eastAsia="zh-CN"/>
            </w:rPr>
            <w:fldChar w:fldCharType="begin"/>
          </w:r>
          <w:r>
            <w:rPr>
              <w:rFonts w:hint="eastAsia" w:ascii="方正小标宋简体" w:hAnsi="方正小标宋简体" w:eastAsia="方正小标宋简体" w:cs="方正小标宋简体"/>
              <w:szCs w:val="32"/>
              <w:highlight w:val="none"/>
              <w:lang w:val="en-US" w:eastAsia="zh-CN"/>
            </w:rPr>
            <w:instrText xml:space="preserve"> HYPERLINK \l _Toc1055 </w:instrText>
          </w:r>
          <w:r>
            <w:rPr>
              <w:rFonts w:hint="eastAsia" w:ascii="方正小标宋简体" w:hAnsi="方正小标宋简体" w:eastAsia="方正小标宋简体" w:cs="方正小标宋简体"/>
              <w:szCs w:val="32"/>
              <w:highlight w:val="none"/>
              <w:lang w:val="en-US" w:eastAsia="zh-CN"/>
            </w:rPr>
            <w:fldChar w:fldCharType="separate"/>
          </w:r>
          <w:r>
            <w:rPr>
              <w:rFonts w:hint="eastAsia" w:ascii="黑体" w:hAnsi="黑体" w:eastAsia="黑体" w:cs="黑体"/>
              <w:kern w:val="2"/>
              <w:szCs w:val="24"/>
              <w:highlight w:val="none"/>
              <w:lang w:val="en-US" w:eastAsia="zh-CN" w:bidi="ar-SA"/>
            </w:rPr>
            <w:t>一、 采购条件</w:t>
          </w:r>
          <w:r>
            <w:rPr>
              <w:highlight w:val="none"/>
            </w:rPr>
            <w:tab/>
          </w:r>
          <w:r>
            <w:rPr>
              <w:highlight w:val="none"/>
            </w:rPr>
            <w:fldChar w:fldCharType="begin"/>
          </w:r>
          <w:r>
            <w:rPr>
              <w:highlight w:val="none"/>
            </w:rPr>
            <w:instrText xml:space="preserve"> PAGEREF _Toc1055 \h </w:instrText>
          </w:r>
          <w:r>
            <w:rPr>
              <w:highlight w:val="none"/>
            </w:rPr>
            <w:fldChar w:fldCharType="separate"/>
          </w:r>
          <w:r>
            <w:rPr>
              <w:highlight w:val="none"/>
            </w:rPr>
            <w:t>4</w:t>
          </w:r>
          <w:r>
            <w:rPr>
              <w:highlight w:val="none"/>
            </w:rPr>
            <w:fldChar w:fldCharType="end"/>
          </w:r>
          <w:r>
            <w:rPr>
              <w:rFonts w:hint="eastAsia" w:ascii="方正小标宋简体" w:hAnsi="方正小标宋简体" w:eastAsia="方正小标宋简体" w:cs="方正小标宋简体"/>
              <w:szCs w:val="32"/>
              <w:highlight w:val="none"/>
              <w:lang w:val="en-US" w:eastAsia="zh-CN"/>
            </w:rPr>
            <w:fldChar w:fldCharType="end"/>
          </w:r>
        </w:p>
        <w:p>
          <w:pPr>
            <w:pStyle w:val="17"/>
            <w:tabs>
              <w:tab w:val="right" w:leader="dot" w:pos="9739"/>
            </w:tabs>
            <w:rPr>
              <w:highlight w:val="none"/>
            </w:rPr>
          </w:pPr>
          <w:r>
            <w:rPr>
              <w:rFonts w:hint="eastAsia" w:ascii="方正小标宋简体" w:hAnsi="方正小标宋简体" w:eastAsia="方正小标宋简体" w:cs="方正小标宋简体"/>
              <w:szCs w:val="32"/>
              <w:highlight w:val="none"/>
              <w:lang w:val="en-US" w:eastAsia="zh-CN"/>
            </w:rPr>
            <w:fldChar w:fldCharType="begin"/>
          </w:r>
          <w:r>
            <w:rPr>
              <w:rFonts w:hint="eastAsia" w:ascii="方正小标宋简体" w:hAnsi="方正小标宋简体" w:eastAsia="方正小标宋简体" w:cs="方正小标宋简体"/>
              <w:szCs w:val="32"/>
              <w:highlight w:val="none"/>
              <w:lang w:val="en-US" w:eastAsia="zh-CN"/>
            </w:rPr>
            <w:instrText xml:space="preserve"> HYPERLINK \l _Toc13386 </w:instrText>
          </w:r>
          <w:r>
            <w:rPr>
              <w:rFonts w:hint="eastAsia" w:ascii="方正小标宋简体" w:hAnsi="方正小标宋简体" w:eastAsia="方正小标宋简体" w:cs="方正小标宋简体"/>
              <w:szCs w:val="32"/>
              <w:highlight w:val="none"/>
              <w:lang w:val="en-US" w:eastAsia="zh-CN"/>
            </w:rPr>
            <w:fldChar w:fldCharType="separate"/>
          </w:r>
          <w:r>
            <w:rPr>
              <w:rFonts w:hint="eastAsia" w:ascii="黑体" w:hAnsi="黑体" w:eastAsia="黑体" w:cs="黑体"/>
              <w:kern w:val="2"/>
              <w:szCs w:val="24"/>
              <w:highlight w:val="none"/>
              <w:lang w:val="en-US" w:eastAsia="zh-CN" w:bidi="ar-SA"/>
            </w:rPr>
            <w:t xml:space="preserve">二、 </w:t>
          </w:r>
          <w:r>
            <w:rPr>
              <w:rFonts w:hint="default" w:ascii="黑体" w:hAnsi="黑体" w:eastAsia="黑体" w:cs="黑体"/>
              <w:kern w:val="2"/>
              <w:szCs w:val="24"/>
              <w:highlight w:val="none"/>
              <w:lang w:val="en-US" w:eastAsia="zh-CN" w:bidi="ar-SA"/>
            </w:rPr>
            <w:t>项目概况</w:t>
          </w:r>
          <w:r>
            <w:rPr>
              <w:highlight w:val="none"/>
            </w:rPr>
            <w:tab/>
          </w:r>
          <w:r>
            <w:rPr>
              <w:highlight w:val="none"/>
            </w:rPr>
            <w:fldChar w:fldCharType="begin"/>
          </w:r>
          <w:r>
            <w:rPr>
              <w:highlight w:val="none"/>
            </w:rPr>
            <w:instrText xml:space="preserve"> PAGEREF _Toc13386 \h </w:instrText>
          </w:r>
          <w:r>
            <w:rPr>
              <w:highlight w:val="none"/>
            </w:rPr>
            <w:fldChar w:fldCharType="separate"/>
          </w:r>
          <w:r>
            <w:rPr>
              <w:highlight w:val="none"/>
            </w:rPr>
            <w:t>4</w:t>
          </w:r>
          <w:r>
            <w:rPr>
              <w:highlight w:val="none"/>
            </w:rPr>
            <w:fldChar w:fldCharType="end"/>
          </w:r>
          <w:r>
            <w:rPr>
              <w:rFonts w:hint="eastAsia" w:ascii="方正小标宋简体" w:hAnsi="方正小标宋简体" w:eastAsia="方正小标宋简体" w:cs="方正小标宋简体"/>
              <w:szCs w:val="32"/>
              <w:highlight w:val="none"/>
              <w:lang w:val="en-US" w:eastAsia="zh-CN"/>
            </w:rPr>
            <w:fldChar w:fldCharType="end"/>
          </w:r>
        </w:p>
        <w:p>
          <w:pPr>
            <w:pStyle w:val="17"/>
            <w:tabs>
              <w:tab w:val="right" w:leader="dot" w:pos="9739"/>
            </w:tabs>
            <w:rPr>
              <w:highlight w:val="none"/>
            </w:rPr>
          </w:pPr>
          <w:r>
            <w:rPr>
              <w:rFonts w:hint="eastAsia" w:ascii="方正小标宋简体" w:hAnsi="方正小标宋简体" w:eastAsia="方正小标宋简体" w:cs="方正小标宋简体"/>
              <w:szCs w:val="32"/>
              <w:highlight w:val="none"/>
              <w:lang w:val="en-US" w:eastAsia="zh-CN"/>
            </w:rPr>
            <w:fldChar w:fldCharType="begin"/>
          </w:r>
          <w:r>
            <w:rPr>
              <w:rFonts w:hint="eastAsia" w:ascii="方正小标宋简体" w:hAnsi="方正小标宋简体" w:eastAsia="方正小标宋简体" w:cs="方正小标宋简体"/>
              <w:szCs w:val="32"/>
              <w:highlight w:val="none"/>
              <w:lang w:val="en-US" w:eastAsia="zh-CN"/>
            </w:rPr>
            <w:instrText xml:space="preserve"> HYPERLINK \l _Toc16458 </w:instrText>
          </w:r>
          <w:r>
            <w:rPr>
              <w:rFonts w:hint="eastAsia" w:ascii="方正小标宋简体" w:hAnsi="方正小标宋简体" w:eastAsia="方正小标宋简体" w:cs="方正小标宋简体"/>
              <w:szCs w:val="32"/>
              <w:highlight w:val="none"/>
              <w:lang w:val="en-US" w:eastAsia="zh-CN"/>
            </w:rPr>
            <w:fldChar w:fldCharType="separate"/>
          </w:r>
          <w:r>
            <w:rPr>
              <w:rFonts w:hint="eastAsia" w:ascii="黑体" w:hAnsi="黑体" w:eastAsia="黑体" w:cs="黑体"/>
              <w:kern w:val="2"/>
              <w:szCs w:val="24"/>
              <w:highlight w:val="none"/>
              <w:lang w:val="en-US" w:eastAsia="zh-CN" w:bidi="ar-SA"/>
            </w:rPr>
            <w:t>三、 申请人</w:t>
          </w:r>
          <w:r>
            <w:rPr>
              <w:rFonts w:hint="default" w:ascii="黑体" w:hAnsi="黑体" w:eastAsia="黑体" w:cs="黑体"/>
              <w:kern w:val="2"/>
              <w:szCs w:val="24"/>
              <w:highlight w:val="none"/>
              <w:lang w:val="en-US" w:eastAsia="zh-CN" w:bidi="ar-SA"/>
            </w:rPr>
            <w:t>资格条件要求</w:t>
          </w:r>
          <w:r>
            <w:rPr>
              <w:highlight w:val="none"/>
            </w:rPr>
            <w:tab/>
          </w:r>
          <w:r>
            <w:rPr>
              <w:rFonts w:hint="eastAsia"/>
              <w:highlight w:val="none"/>
              <w:lang w:val="en-US" w:eastAsia="zh-CN"/>
            </w:rPr>
            <w:t>8</w:t>
          </w:r>
          <w:r>
            <w:rPr>
              <w:rFonts w:hint="eastAsia" w:ascii="方正小标宋简体" w:hAnsi="方正小标宋简体" w:eastAsia="方正小标宋简体" w:cs="方正小标宋简体"/>
              <w:szCs w:val="32"/>
              <w:highlight w:val="none"/>
              <w:lang w:val="en-US" w:eastAsia="zh-CN"/>
            </w:rPr>
            <w:fldChar w:fldCharType="end"/>
          </w:r>
        </w:p>
        <w:p>
          <w:pPr>
            <w:pStyle w:val="17"/>
            <w:tabs>
              <w:tab w:val="right" w:leader="dot" w:pos="9739"/>
            </w:tabs>
            <w:rPr>
              <w:highlight w:val="none"/>
            </w:rPr>
          </w:pPr>
          <w:r>
            <w:rPr>
              <w:rFonts w:hint="eastAsia" w:ascii="方正小标宋简体" w:hAnsi="方正小标宋简体" w:eastAsia="方正小标宋简体" w:cs="方正小标宋简体"/>
              <w:szCs w:val="32"/>
              <w:highlight w:val="none"/>
              <w:lang w:val="en-US" w:eastAsia="zh-CN"/>
            </w:rPr>
            <w:fldChar w:fldCharType="begin"/>
          </w:r>
          <w:r>
            <w:rPr>
              <w:rFonts w:hint="eastAsia" w:ascii="方正小标宋简体" w:hAnsi="方正小标宋简体" w:eastAsia="方正小标宋简体" w:cs="方正小标宋简体"/>
              <w:szCs w:val="32"/>
              <w:highlight w:val="none"/>
              <w:lang w:val="en-US" w:eastAsia="zh-CN"/>
            </w:rPr>
            <w:instrText xml:space="preserve"> HYPERLINK \l _Toc28853 </w:instrText>
          </w:r>
          <w:r>
            <w:rPr>
              <w:rFonts w:hint="eastAsia" w:ascii="方正小标宋简体" w:hAnsi="方正小标宋简体" w:eastAsia="方正小标宋简体" w:cs="方正小标宋简体"/>
              <w:szCs w:val="32"/>
              <w:highlight w:val="none"/>
              <w:lang w:val="en-US" w:eastAsia="zh-CN"/>
            </w:rPr>
            <w:fldChar w:fldCharType="separate"/>
          </w:r>
          <w:r>
            <w:rPr>
              <w:rFonts w:hint="eastAsia" w:ascii="黑体" w:hAnsi="黑体" w:eastAsia="黑体" w:cs="黑体"/>
              <w:kern w:val="2"/>
              <w:szCs w:val="24"/>
              <w:highlight w:val="none"/>
              <w:lang w:val="en-US" w:eastAsia="zh-CN" w:bidi="ar-SA"/>
            </w:rPr>
            <w:t>四、 报名方式</w:t>
          </w:r>
          <w:r>
            <w:rPr>
              <w:highlight w:val="none"/>
            </w:rPr>
            <w:tab/>
          </w:r>
          <w:r>
            <w:rPr>
              <w:rFonts w:hint="eastAsia"/>
              <w:highlight w:val="none"/>
              <w:lang w:val="en-US" w:eastAsia="zh-CN"/>
            </w:rPr>
            <w:t>9</w:t>
          </w:r>
          <w:r>
            <w:rPr>
              <w:rFonts w:hint="eastAsia" w:ascii="方正小标宋简体" w:hAnsi="方正小标宋简体" w:eastAsia="方正小标宋简体" w:cs="方正小标宋简体"/>
              <w:szCs w:val="32"/>
              <w:highlight w:val="none"/>
              <w:lang w:val="en-US" w:eastAsia="zh-CN"/>
            </w:rPr>
            <w:fldChar w:fldCharType="end"/>
          </w:r>
        </w:p>
        <w:p>
          <w:pPr>
            <w:pStyle w:val="17"/>
            <w:tabs>
              <w:tab w:val="right" w:leader="dot" w:pos="9739"/>
            </w:tabs>
            <w:rPr>
              <w:highlight w:val="none"/>
            </w:rPr>
          </w:pPr>
          <w:r>
            <w:rPr>
              <w:rFonts w:hint="eastAsia" w:ascii="方正小标宋简体" w:hAnsi="方正小标宋简体" w:eastAsia="方正小标宋简体" w:cs="方正小标宋简体"/>
              <w:szCs w:val="32"/>
              <w:highlight w:val="none"/>
              <w:lang w:val="en-US" w:eastAsia="zh-CN"/>
            </w:rPr>
            <w:fldChar w:fldCharType="begin"/>
          </w:r>
          <w:r>
            <w:rPr>
              <w:rFonts w:hint="eastAsia" w:ascii="方正小标宋简体" w:hAnsi="方正小标宋简体" w:eastAsia="方正小标宋简体" w:cs="方正小标宋简体"/>
              <w:szCs w:val="32"/>
              <w:highlight w:val="none"/>
              <w:lang w:val="en-US" w:eastAsia="zh-CN"/>
            </w:rPr>
            <w:instrText xml:space="preserve"> HYPERLINK \l _Toc9313 </w:instrText>
          </w:r>
          <w:r>
            <w:rPr>
              <w:rFonts w:hint="eastAsia" w:ascii="方正小标宋简体" w:hAnsi="方正小标宋简体" w:eastAsia="方正小标宋简体" w:cs="方正小标宋简体"/>
              <w:szCs w:val="32"/>
              <w:highlight w:val="none"/>
              <w:lang w:val="en-US" w:eastAsia="zh-CN"/>
            </w:rPr>
            <w:fldChar w:fldCharType="separate"/>
          </w:r>
          <w:r>
            <w:rPr>
              <w:rFonts w:hint="eastAsia" w:ascii="黑体" w:hAnsi="黑体" w:eastAsia="黑体" w:cs="黑体"/>
              <w:kern w:val="2"/>
              <w:szCs w:val="24"/>
              <w:highlight w:val="none"/>
              <w:lang w:val="en-US" w:eastAsia="zh-CN" w:bidi="ar-SA"/>
            </w:rPr>
            <w:t xml:space="preserve">五、 </w:t>
          </w:r>
          <w:r>
            <w:rPr>
              <w:rFonts w:hint="default" w:ascii="黑体" w:hAnsi="黑体" w:eastAsia="黑体" w:cs="黑体"/>
              <w:kern w:val="2"/>
              <w:szCs w:val="24"/>
              <w:highlight w:val="none"/>
              <w:lang w:val="en-US" w:eastAsia="zh-CN" w:bidi="ar-SA"/>
            </w:rPr>
            <w:t>报价文件的递交</w:t>
          </w:r>
          <w:r>
            <w:rPr>
              <w:highlight w:val="none"/>
            </w:rPr>
            <w:tab/>
          </w:r>
          <w:r>
            <w:rPr>
              <w:rFonts w:hint="eastAsia"/>
              <w:highlight w:val="none"/>
              <w:lang w:val="en-US" w:eastAsia="zh-CN"/>
            </w:rPr>
            <w:t>9</w:t>
          </w:r>
          <w:r>
            <w:rPr>
              <w:rFonts w:hint="eastAsia" w:ascii="方正小标宋简体" w:hAnsi="方正小标宋简体" w:eastAsia="方正小标宋简体" w:cs="方正小标宋简体"/>
              <w:szCs w:val="32"/>
              <w:highlight w:val="none"/>
              <w:lang w:val="en-US" w:eastAsia="zh-CN"/>
            </w:rPr>
            <w:fldChar w:fldCharType="end"/>
          </w:r>
        </w:p>
        <w:p>
          <w:pPr>
            <w:pStyle w:val="17"/>
            <w:tabs>
              <w:tab w:val="right" w:leader="dot" w:pos="9739"/>
            </w:tabs>
            <w:rPr>
              <w:highlight w:val="none"/>
            </w:rPr>
          </w:pPr>
          <w:r>
            <w:rPr>
              <w:rFonts w:hint="eastAsia" w:ascii="方正小标宋简体" w:hAnsi="方正小标宋简体" w:eastAsia="方正小标宋简体" w:cs="方正小标宋简体"/>
              <w:szCs w:val="32"/>
              <w:highlight w:val="none"/>
              <w:lang w:val="en-US" w:eastAsia="zh-CN"/>
            </w:rPr>
            <w:fldChar w:fldCharType="begin"/>
          </w:r>
          <w:r>
            <w:rPr>
              <w:rFonts w:hint="eastAsia" w:ascii="方正小标宋简体" w:hAnsi="方正小标宋简体" w:eastAsia="方正小标宋简体" w:cs="方正小标宋简体"/>
              <w:szCs w:val="32"/>
              <w:highlight w:val="none"/>
              <w:lang w:val="en-US" w:eastAsia="zh-CN"/>
            </w:rPr>
            <w:instrText xml:space="preserve"> HYPERLINK \l _Toc13311 </w:instrText>
          </w:r>
          <w:r>
            <w:rPr>
              <w:rFonts w:hint="eastAsia" w:ascii="方正小标宋简体" w:hAnsi="方正小标宋简体" w:eastAsia="方正小标宋简体" w:cs="方正小标宋简体"/>
              <w:szCs w:val="32"/>
              <w:highlight w:val="none"/>
              <w:lang w:val="en-US" w:eastAsia="zh-CN"/>
            </w:rPr>
            <w:fldChar w:fldCharType="separate"/>
          </w:r>
          <w:r>
            <w:rPr>
              <w:rFonts w:hint="eastAsia" w:ascii="黑体" w:hAnsi="黑体" w:eastAsia="黑体" w:cs="黑体"/>
              <w:kern w:val="2"/>
              <w:szCs w:val="24"/>
              <w:highlight w:val="none"/>
              <w:lang w:val="en-US" w:eastAsia="zh-CN" w:bidi="ar-SA"/>
            </w:rPr>
            <w:t xml:space="preserve">六、 </w:t>
          </w:r>
          <w:r>
            <w:rPr>
              <w:rFonts w:hint="default" w:ascii="黑体" w:hAnsi="黑体" w:eastAsia="黑体" w:cs="黑体"/>
              <w:kern w:val="2"/>
              <w:szCs w:val="24"/>
              <w:highlight w:val="none"/>
              <w:lang w:val="en-US" w:eastAsia="zh-CN" w:bidi="ar-SA"/>
            </w:rPr>
            <w:t>联系方式</w:t>
          </w:r>
          <w:r>
            <w:rPr>
              <w:highlight w:val="none"/>
            </w:rPr>
            <w:tab/>
          </w:r>
          <w:r>
            <w:rPr>
              <w:rFonts w:hint="eastAsia"/>
              <w:highlight w:val="none"/>
              <w:lang w:val="en-US" w:eastAsia="zh-CN"/>
            </w:rPr>
            <w:t>9</w:t>
          </w:r>
          <w:r>
            <w:rPr>
              <w:rFonts w:hint="eastAsia" w:ascii="方正小标宋简体" w:hAnsi="方正小标宋简体" w:eastAsia="方正小标宋简体" w:cs="方正小标宋简体"/>
              <w:szCs w:val="32"/>
              <w:highlight w:val="none"/>
              <w:lang w:val="en-US" w:eastAsia="zh-CN"/>
            </w:rPr>
            <w:fldChar w:fldCharType="end"/>
          </w:r>
        </w:p>
        <w:p>
          <w:pPr>
            <w:pStyle w:val="15"/>
            <w:tabs>
              <w:tab w:val="right" w:leader="dot" w:pos="9739"/>
            </w:tabs>
            <w:rPr>
              <w:rFonts w:hint="default"/>
              <w:highlight w:val="none"/>
              <w:lang w:val="en-US"/>
            </w:rPr>
          </w:pPr>
          <w:r>
            <w:rPr>
              <w:rFonts w:hint="eastAsia" w:ascii="方正小标宋简体" w:hAnsi="方正小标宋简体" w:eastAsia="方正小标宋简体" w:cs="方正小标宋简体"/>
              <w:szCs w:val="32"/>
              <w:highlight w:val="none"/>
              <w:lang w:val="en-US" w:eastAsia="zh-CN"/>
            </w:rPr>
            <w:fldChar w:fldCharType="begin"/>
          </w:r>
          <w:r>
            <w:rPr>
              <w:rFonts w:hint="eastAsia" w:ascii="方正小标宋简体" w:hAnsi="方正小标宋简体" w:eastAsia="方正小标宋简体" w:cs="方正小标宋简体"/>
              <w:szCs w:val="32"/>
              <w:highlight w:val="none"/>
              <w:lang w:val="en-US" w:eastAsia="zh-CN"/>
            </w:rPr>
            <w:instrText xml:space="preserve"> HYPERLINK \l _Toc22771 </w:instrText>
          </w:r>
          <w:r>
            <w:rPr>
              <w:rFonts w:hint="eastAsia" w:ascii="方正小标宋简体" w:hAnsi="方正小标宋简体" w:eastAsia="方正小标宋简体" w:cs="方正小标宋简体"/>
              <w:szCs w:val="32"/>
              <w:highlight w:val="none"/>
              <w:lang w:val="en-US" w:eastAsia="zh-CN"/>
            </w:rPr>
            <w:fldChar w:fldCharType="separate"/>
          </w:r>
          <w:r>
            <w:rPr>
              <w:rFonts w:hint="eastAsia" w:ascii="方正小标宋简体" w:hAnsi="方正小标宋简体" w:eastAsia="方正小标宋简体" w:cs="方正小标宋简体"/>
              <w:szCs w:val="32"/>
              <w:highlight w:val="none"/>
              <w:lang w:val="en-US" w:eastAsia="zh-CN"/>
            </w:rPr>
            <w:t>第二章 申请人须知</w:t>
          </w:r>
          <w:r>
            <w:rPr>
              <w:highlight w:val="none"/>
            </w:rPr>
            <w:tab/>
          </w:r>
          <w:r>
            <w:rPr>
              <w:rFonts w:hint="eastAsia"/>
              <w:highlight w:val="none"/>
              <w:lang w:val="en-US" w:eastAsia="zh-CN"/>
            </w:rPr>
            <w:t>1</w:t>
          </w:r>
          <w:r>
            <w:rPr>
              <w:rFonts w:hint="eastAsia" w:ascii="方正小标宋简体" w:hAnsi="方正小标宋简体" w:eastAsia="方正小标宋简体" w:cs="方正小标宋简体"/>
              <w:szCs w:val="32"/>
              <w:highlight w:val="none"/>
              <w:lang w:val="en-US" w:eastAsia="zh-CN"/>
            </w:rPr>
            <w:fldChar w:fldCharType="end"/>
          </w:r>
          <w:r>
            <w:rPr>
              <w:rFonts w:hint="eastAsia" w:ascii="方正小标宋简体" w:hAnsi="方正小标宋简体" w:eastAsia="方正小标宋简体" w:cs="方正小标宋简体"/>
              <w:szCs w:val="32"/>
              <w:highlight w:val="none"/>
              <w:lang w:val="en-US" w:eastAsia="zh-CN"/>
            </w:rPr>
            <w:t>0</w:t>
          </w:r>
        </w:p>
        <w:p>
          <w:pPr>
            <w:pStyle w:val="17"/>
            <w:tabs>
              <w:tab w:val="right" w:leader="dot" w:pos="9739"/>
            </w:tabs>
            <w:rPr>
              <w:rFonts w:hint="default"/>
              <w:highlight w:val="none"/>
              <w:lang w:val="en-US"/>
            </w:rPr>
          </w:pPr>
          <w:r>
            <w:rPr>
              <w:rFonts w:hint="eastAsia" w:ascii="方正小标宋简体" w:hAnsi="方正小标宋简体" w:eastAsia="方正小标宋简体" w:cs="方正小标宋简体"/>
              <w:szCs w:val="32"/>
              <w:highlight w:val="none"/>
              <w:lang w:val="en-US" w:eastAsia="zh-CN"/>
            </w:rPr>
            <w:fldChar w:fldCharType="begin"/>
          </w:r>
          <w:r>
            <w:rPr>
              <w:rFonts w:hint="eastAsia" w:ascii="方正小标宋简体" w:hAnsi="方正小标宋简体" w:eastAsia="方正小标宋简体" w:cs="方正小标宋简体"/>
              <w:szCs w:val="32"/>
              <w:highlight w:val="none"/>
              <w:lang w:val="en-US" w:eastAsia="zh-CN"/>
            </w:rPr>
            <w:instrText xml:space="preserve"> HYPERLINK \l _Toc13215 </w:instrText>
          </w:r>
          <w:r>
            <w:rPr>
              <w:rFonts w:hint="eastAsia" w:ascii="方正小标宋简体" w:hAnsi="方正小标宋简体" w:eastAsia="方正小标宋简体" w:cs="方正小标宋简体"/>
              <w:szCs w:val="32"/>
              <w:highlight w:val="none"/>
              <w:lang w:val="en-US" w:eastAsia="zh-CN"/>
            </w:rPr>
            <w:fldChar w:fldCharType="separate"/>
          </w:r>
          <w:r>
            <w:rPr>
              <w:rFonts w:hint="eastAsia" w:ascii="黑体" w:hAnsi="黑体" w:eastAsia="黑体" w:cs="黑体"/>
              <w:kern w:val="2"/>
              <w:szCs w:val="24"/>
              <w:highlight w:val="none"/>
              <w:lang w:val="en-US" w:eastAsia="zh-CN" w:bidi="ar-SA"/>
            </w:rPr>
            <w:t>一、 资料要求</w:t>
          </w:r>
          <w:r>
            <w:rPr>
              <w:highlight w:val="none"/>
            </w:rPr>
            <w:tab/>
          </w:r>
          <w:r>
            <w:rPr>
              <w:rFonts w:hint="eastAsia"/>
              <w:highlight w:val="none"/>
              <w:lang w:val="en-US" w:eastAsia="zh-CN"/>
            </w:rPr>
            <w:t>1</w:t>
          </w:r>
          <w:r>
            <w:rPr>
              <w:rFonts w:hint="eastAsia" w:ascii="方正小标宋简体" w:hAnsi="方正小标宋简体" w:eastAsia="方正小标宋简体" w:cs="方正小标宋简体"/>
              <w:szCs w:val="32"/>
              <w:highlight w:val="none"/>
              <w:lang w:val="en-US" w:eastAsia="zh-CN"/>
            </w:rPr>
            <w:fldChar w:fldCharType="end"/>
          </w:r>
          <w:r>
            <w:rPr>
              <w:rFonts w:hint="eastAsia" w:ascii="方正小标宋简体" w:hAnsi="方正小标宋简体" w:eastAsia="方正小标宋简体" w:cs="方正小标宋简体"/>
              <w:szCs w:val="32"/>
              <w:highlight w:val="none"/>
              <w:lang w:val="en-US" w:eastAsia="zh-CN"/>
            </w:rPr>
            <w:t>0</w:t>
          </w:r>
        </w:p>
        <w:p>
          <w:pPr>
            <w:pStyle w:val="17"/>
            <w:tabs>
              <w:tab w:val="right" w:leader="dot" w:pos="9739"/>
            </w:tabs>
            <w:rPr>
              <w:rFonts w:hint="default" w:ascii="方正小标宋简体" w:hAnsi="方正小标宋简体" w:eastAsia="方正小标宋简体" w:cs="方正小标宋简体"/>
              <w:szCs w:val="32"/>
              <w:highlight w:val="none"/>
              <w:lang w:val="en-US" w:eastAsia="zh-CN"/>
            </w:rPr>
          </w:pPr>
          <w:r>
            <w:rPr>
              <w:rFonts w:hint="eastAsia" w:ascii="方正小标宋简体" w:hAnsi="方正小标宋简体" w:eastAsia="方正小标宋简体" w:cs="方正小标宋简体"/>
              <w:szCs w:val="32"/>
              <w:highlight w:val="none"/>
              <w:lang w:val="en-US" w:eastAsia="zh-CN"/>
            </w:rPr>
            <w:fldChar w:fldCharType="begin"/>
          </w:r>
          <w:r>
            <w:rPr>
              <w:rFonts w:hint="eastAsia" w:ascii="方正小标宋简体" w:hAnsi="方正小标宋简体" w:eastAsia="方正小标宋简体" w:cs="方正小标宋简体"/>
              <w:szCs w:val="32"/>
              <w:highlight w:val="none"/>
              <w:lang w:val="en-US" w:eastAsia="zh-CN"/>
            </w:rPr>
            <w:instrText xml:space="preserve"> HYPERLINK \l _Toc14380 </w:instrText>
          </w:r>
          <w:r>
            <w:rPr>
              <w:rFonts w:hint="eastAsia" w:ascii="方正小标宋简体" w:hAnsi="方正小标宋简体" w:eastAsia="方正小标宋简体" w:cs="方正小标宋简体"/>
              <w:szCs w:val="32"/>
              <w:highlight w:val="none"/>
              <w:lang w:val="en-US" w:eastAsia="zh-CN"/>
            </w:rPr>
            <w:fldChar w:fldCharType="separate"/>
          </w:r>
          <w:r>
            <w:rPr>
              <w:rFonts w:hint="eastAsia" w:ascii="黑体" w:hAnsi="黑体" w:eastAsia="黑体" w:cs="黑体"/>
              <w:kern w:val="2"/>
              <w:szCs w:val="24"/>
              <w:highlight w:val="none"/>
              <w:lang w:val="en-US" w:eastAsia="zh-CN" w:bidi="ar-SA"/>
            </w:rPr>
            <w:t>二、 确定中选人</w:t>
          </w:r>
          <w:r>
            <w:rPr>
              <w:highlight w:val="none"/>
            </w:rPr>
            <w:tab/>
          </w:r>
          <w:r>
            <w:rPr>
              <w:rFonts w:hint="eastAsia"/>
              <w:highlight w:val="none"/>
              <w:lang w:val="en-US" w:eastAsia="zh-CN"/>
            </w:rPr>
            <w:t>1</w:t>
          </w:r>
          <w:r>
            <w:rPr>
              <w:rFonts w:hint="eastAsia" w:ascii="方正小标宋简体" w:hAnsi="方正小标宋简体" w:eastAsia="方正小标宋简体" w:cs="方正小标宋简体"/>
              <w:szCs w:val="32"/>
              <w:highlight w:val="none"/>
              <w:lang w:val="en-US" w:eastAsia="zh-CN"/>
            </w:rPr>
            <w:fldChar w:fldCharType="end"/>
          </w:r>
          <w:r>
            <w:rPr>
              <w:rFonts w:hint="eastAsia" w:ascii="方正小标宋简体" w:hAnsi="方正小标宋简体" w:eastAsia="方正小标宋简体" w:cs="方正小标宋简体"/>
              <w:szCs w:val="32"/>
              <w:highlight w:val="none"/>
              <w:lang w:val="en-US" w:eastAsia="zh-CN"/>
            </w:rPr>
            <w:t>0</w:t>
          </w:r>
        </w:p>
        <w:p>
          <w:pPr>
            <w:rPr>
              <w:rFonts w:hint="default" w:ascii="Times New Roman" w:hAnsi="Times New Roman" w:eastAsia="仿宋_GB2312" w:cs="Times New Roman"/>
              <w:kern w:val="2"/>
              <w:sz w:val="32"/>
              <w:szCs w:val="24"/>
              <w:highlight w:val="none"/>
              <w:lang w:val="en-US" w:eastAsia="zh-CN" w:bidi="ar-SA"/>
            </w:rPr>
          </w:pPr>
          <w:r>
            <w:rPr>
              <w:rFonts w:hint="eastAsia" w:ascii="方正小标宋简体" w:hAnsi="方正小标宋简体" w:eastAsia="方正小标宋简体" w:cs="方正小标宋简体"/>
              <w:szCs w:val="32"/>
              <w:highlight w:val="none"/>
              <w:lang w:val="en-US" w:eastAsia="zh-CN"/>
            </w:rPr>
            <w:t xml:space="preserve">    </w:t>
          </w:r>
          <w:r>
            <w:rPr>
              <w:rFonts w:hint="eastAsia" w:ascii="黑体" w:hAnsi="黑体" w:eastAsia="黑体" w:cs="黑体"/>
              <w:kern w:val="2"/>
              <w:sz w:val="32"/>
              <w:szCs w:val="24"/>
              <w:highlight w:val="none"/>
              <w:lang w:val="en-US" w:eastAsia="zh-CN" w:bidi="ar-SA"/>
            </w:rPr>
            <w:t>三</w:t>
          </w:r>
          <w:r>
            <w:rPr>
              <w:rFonts w:hint="eastAsia" w:ascii="方正小标宋简体" w:hAnsi="方正小标宋简体" w:eastAsia="方正小标宋简体" w:cs="方正小标宋简体"/>
              <w:szCs w:val="32"/>
              <w:highlight w:val="none"/>
              <w:lang w:val="en-US" w:eastAsia="zh-CN"/>
            </w:rPr>
            <w:t>、 保证金</w:t>
          </w:r>
          <w:r>
            <w:rPr>
              <w:rFonts w:hint="default" w:ascii="Arial" w:hAnsi="Arial" w:eastAsia="方正小标宋简体" w:cs="Arial"/>
              <w:szCs w:val="32"/>
              <w:highlight w:val="none"/>
              <w:lang w:val="en-US" w:eastAsia="zh-CN"/>
            </w:rPr>
            <w:t>…</w:t>
          </w:r>
          <w:r>
            <w:rPr>
              <w:rFonts w:hint="eastAsia" w:ascii="微软雅黑" w:hAnsi="微软雅黑" w:eastAsia="微软雅黑" w:cs="微软雅黑"/>
              <w:szCs w:val="32"/>
              <w:highlight w:val="none"/>
              <w:lang w:val="en-US" w:eastAsia="zh-CN"/>
            </w:rPr>
            <w:t>……..........................................................................</w:t>
          </w:r>
          <w:r>
            <w:rPr>
              <w:rFonts w:hint="eastAsia" w:cs="Times New Roman"/>
              <w:kern w:val="2"/>
              <w:sz w:val="32"/>
              <w:szCs w:val="24"/>
              <w:highlight w:val="none"/>
              <w:lang w:val="en-US" w:eastAsia="zh-CN" w:bidi="ar-SA"/>
            </w:rPr>
            <w:t>11</w:t>
          </w:r>
          <w:r>
            <w:rPr>
              <w:rFonts w:hint="eastAsia" w:ascii="微软雅黑" w:hAnsi="微软雅黑" w:eastAsia="微软雅黑" w:cs="微软雅黑"/>
              <w:szCs w:val="32"/>
              <w:highlight w:val="none"/>
              <w:lang w:val="en-US" w:eastAsia="zh-CN"/>
            </w:rPr>
            <w:t xml:space="preserve">  </w:t>
          </w:r>
        </w:p>
        <w:p>
          <w:pPr>
            <w:pStyle w:val="15"/>
            <w:tabs>
              <w:tab w:val="right" w:leader="dot" w:pos="9739"/>
            </w:tabs>
            <w:rPr>
              <w:rFonts w:hint="default"/>
              <w:highlight w:val="none"/>
              <w:lang w:val="en-US"/>
            </w:rPr>
          </w:pPr>
          <w:r>
            <w:rPr>
              <w:rFonts w:hint="eastAsia" w:ascii="方正小标宋简体" w:hAnsi="方正小标宋简体" w:eastAsia="方正小标宋简体" w:cs="方正小标宋简体"/>
              <w:szCs w:val="32"/>
              <w:highlight w:val="none"/>
              <w:lang w:val="en-US" w:eastAsia="zh-CN"/>
            </w:rPr>
            <w:fldChar w:fldCharType="begin"/>
          </w:r>
          <w:r>
            <w:rPr>
              <w:rFonts w:hint="eastAsia" w:ascii="方正小标宋简体" w:hAnsi="方正小标宋简体" w:eastAsia="方正小标宋简体" w:cs="方正小标宋简体"/>
              <w:szCs w:val="32"/>
              <w:highlight w:val="none"/>
              <w:lang w:val="en-US" w:eastAsia="zh-CN"/>
            </w:rPr>
            <w:instrText xml:space="preserve"> HYPERLINK \l _Toc22852 </w:instrText>
          </w:r>
          <w:r>
            <w:rPr>
              <w:rFonts w:hint="eastAsia" w:ascii="方正小标宋简体" w:hAnsi="方正小标宋简体" w:eastAsia="方正小标宋简体" w:cs="方正小标宋简体"/>
              <w:szCs w:val="32"/>
              <w:highlight w:val="none"/>
              <w:lang w:val="en-US" w:eastAsia="zh-CN"/>
            </w:rPr>
            <w:fldChar w:fldCharType="separate"/>
          </w:r>
          <w:r>
            <w:rPr>
              <w:rFonts w:hint="eastAsia" w:ascii="方正小标宋简体" w:hAnsi="方正小标宋简体" w:eastAsia="方正小标宋简体" w:cs="方正小标宋简体"/>
              <w:szCs w:val="32"/>
              <w:highlight w:val="none"/>
              <w:lang w:val="en-US" w:eastAsia="zh-CN"/>
            </w:rPr>
            <w:t>第三章 合同条款及格式</w:t>
          </w:r>
          <w:r>
            <w:rPr>
              <w:highlight w:val="none"/>
            </w:rPr>
            <w:tab/>
          </w:r>
          <w:r>
            <w:rPr>
              <w:rFonts w:hint="eastAsia"/>
              <w:highlight w:val="none"/>
              <w:lang w:val="en-US" w:eastAsia="zh-CN"/>
            </w:rPr>
            <w:t>1</w:t>
          </w:r>
          <w:r>
            <w:rPr>
              <w:rFonts w:hint="eastAsia" w:ascii="方正小标宋简体" w:hAnsi="方正小标宋简体" w:eastAsia="方正小标宋简体" w:cs="方正小标宋简体"/>
              <w:szCs w:val="32"/>
              <w:highlight w:val="none"/>
              <w:lang w:val="en-US" w:eastAsia="zh-CN"/>
            </w:rPr>
            <w:fldChar w:fldCharType="end"/>
          </w:r>
          <w:r>
            <w:rPr>
              <w:rFonts w:hint="eastAsia" w:ascii="方正小标宋简体" w:hAnsi="方正小标宋简体" w:eastAsia="方正小标宋简体" w:cs="方正小标宋简体"/>
              <w:szCs w:val="32"/>
              <w:highlight w:val="none"/>
              <w:lang w:val="en-US" w:eastAsia="zh-CN"/>
            </w:rPr>
            <w:t>2</w:t>
          </w:r>
        </w:p>
        <w:p>
          <w:pPr>
            <w:pStyle w:val="17"/>
            <w:tabs>
              <w:tab w:val="right" w:leader="dot" w:pos="9739"/>
            </w:tabs>
            <w:rPr>
              <w:rFonts w:hint="default"/>
              <w:highlight w:val="none"/>
              <w:lang w:val="en-US"/>
            </w:rPr>
          </w:pPr>
          <w:r>
            <w:rPr>
              <w:rFonts w:hint="eastAsia" w:ascii="方正小标宋简体" w:hAnsi="方正小标宋简体" w:eastAsia="方正小标宋简体" w:cs="方正小标宋简体"/>
              <w:szCs w:val="32"/>
              <w:highlight w:val="none"/>
              <w:lang w:val="en-US" w:eastAsia="zh-CN"/>
            </w:rPr>
            <w:t>钢材</w:t>
          </w:r>
          <w:r>
            <w:rPr>
              <w:rFonts w:hint="eastAsia" w:ascii="方正小标宋简体" w:hAnsi="方正小标宋简体" w:eastAsia="方正小标宋简体" w:cs="方正小标宋简体"/>
              <w:szCs w:val="32"/>
              <w:highlight w:val="none"/>
              <w:lang w:val="en-US" w:eastAsia="zh-CN"/>
            </w:rPr>
            <w:fldChar w:fldCharType="begin"/>
          </w:r>
          <w:r>
            <w:rPr>
              <w:rFonts w:hint="eastAsia" w:ascii="方正小标宋简体" w:hAnsi="方正小标宋简体" w:eastAsia="方正小标宋简体" w:cs="方正小标宋简体"/>
              <w:szCs w:val="32"/>
              <w:highlight w:val="none"/>
              <w:lang w:val="en-US" w:eastAsia="zh-CN"/>
            </w:rPr>
            <w:instrText xml:space="preserve"> HYPERLINK \l _Toc25711 </w:instrText>
          </w:r>
          <w:r>
            <w:rPr>
              <w:rFonts w:hint="eastAsia" w:ascii="方正小标宋简体" w:hAnsi="方正小标宋简体" w:eastAsia="方正小标宋简体" w:cs="方正小标宋简体"/>
              <w:szCs w:val="32"/>
              <w:highlight w:val="none"/>
              <w:lang w:val="en-US" w:eastAsia="zh-CN"/>
            </w:rPr>
            <w:fldChar w:fldCharType="separate"/>
          </w:r>
          <w:r>
            <w:rPr>
              <w:rFonts w:hint="eastAsia" w:ascii="方正小标宋简体" w:hAnsi="方正小标宋简体" w:eastAsia="方正小标宋简体" w:cs="方正小标宋简体"/>
              <w:szCs w:val="32"/>
              <w:highlight w:val="none"/>
              <w:lang w:val="en-US" w:eastAsia="zh-CN"/>
            </w:rPr>
            <w:t>采购合同</w:t>
          </w:r>
          <w:r>
            <w:rPr>
              <w:highlight w:val="none"/>
            </w:rPr>
            <w:tab/>
          </w:r>
          <w:r>
            <w:rPr>
              <w:rFonts w:hint="eastAsia"/>
              <w:highlight w:val="none"/>
              <w:lang w:val="en-US" w:eastAsia="zh-CN"/>
            </w:rPr>
            <w:t>1</w:t>
          </w:r>
          <w:r>
            <w:rPr>
              <w:rFonts w:hint="eastAsia" w:ascii="方正小标宋简体" w:hAnsi="方正小标宋简体" w:eastAsia="方正小标宋简体" w:cs="方正小标宋简体"/>
              <w:szCs w:val="32"/>
              <w:highlight w:val="none"/>
              <w:lang w:val="en-US" w:eastAsia="zh-CN"/>
            </w:rPr>
            <w:fldChar w:fldCharType="end"/>
          </w:r>
          <w:r>
            <w:rPr>
              <w:rFonts w:hint="eastAsia" w:ascii="方正小标宋简体" w:hAnsi="方正小标宋简体" w:eastAsia="方正小标宋简体" w:cs="方正小标宋简体"/>
              <w:szCs w:val="32"/>
              <w:highlight w:val="none"/>
              <w:lang w:val="en-US" w:eastAsia="zh-CN"/>
            </w:rPr>
            <w:t>3</w:t>
          </w:r>
        </w:p>
        <w:p>
          <w:pPr>
            <w:ind w:left="0" w:leftChars="0" w:firstLine="0" w:firstLineChars="0"/>
            <w:rPr>
              <w:rFonts w:hint="eastAsia"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Cs w:val="32"/>
              <w:highlight w:val="none"/>
              <w:lang w:val="en-US" w:eastAsia="zh-CN"/>
            </w:rPr>
            <w:fldChar w:fldCharType="end"/>
          </w:r>
        </w:p>
      </w:sdtContent>
    </w:sdt>
    <w:p>
      <w:pPr>
        <w:rPr>
          <w:rFonts w:hint="eastAsia"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br w:type="page"/>
      </w:r>
    </w:p>
    <w:p>
      <w:pPr>
        <w:rPr>
          <w:rFonts w:hint="eastAsia"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br w:type="page"/>
      </w:r>
    </w:p>
    <w:p>
      <w:pPr>
        <w:pageBreakBefore w:val="0"/>
        <w:widowControl w:val="0"/>
        <w:numPr>
          <w:ilvl w:val="0"/>
          <w:numId w:val="1"/>
        </w:numPr>
        <w:kinsoku/>
        <w:wordWrap/>
        <w:overflowPunct/>
        <w:topLinePunct w:val="0"/>
        <w:autoSpaceDE/>
        <w:autoSpaceDN/>
        <w:bidi w:val="0"/>
        <w:adjustRightInd/>
        <w:snapToGrid/>
        <w:spacing w:line="560" w:lineRule="exact"/>
        <w:ind w:left="0" w:leftChars="0" w:firstLine="402" w:firstLineChars="0"/>
        <w:jc w:val="center"/>
        <w:outlineLvl w:val="0"/>
        <w:rPr>
          <w:rFonts w:hint="eastAsia" w:ascii="方正小标宋简体" w:hAnsi="方正小标宋简体" w:eastAsia="方正小标宋简体" w:cs="方正小标宋简体"/>
          <w:sz w:val="32"/>
          <w:szCs w:val="32"/>
          <w:highlight w:val="none"/>
          <w:lang w:val="en-US" w:eastAsia="zh-CN"/>
        </w:rPr>
      </w:pPr>
      <w:bookmarkStart w:id="1" w:name="_Toc32466"/>
      <w:r>
        <w:rPr>
          <w:rFonts w:hint="eastAsia" w:ascii="方正小标宋简体" w:hAnsi="方正小标宋简体" w:eastAsia="方正小标宋简体" w:cs="方正小标宋简体"/>
          <w:sz w:val="32"/>
          <w:szCs w:val="32"/>
          <w:highlight w:val="none"/>
          <w:lang w:val="en-US" w:eastAsia="zh-CN"/>
        </w:rPr>
        <w:t>询价公告</w:t>
      </w:r>
      <w:bookmarkEnd w:id="1"/>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ascii="黑体" w:hAnsi="黑体" w:eastAsia="黑体" w:cs="黑体"/>
          <w:kern w:val="2"/>
          <w:sz w:val="28"/>
          <w:szCs w:val="24"/>
          <w:highlight w:val="none"/>
          <w:lang w:val="en-US" w:eastAsia="zh-CN" w:bidi="ar-SA"/>
        </w:rPr>
      </w:pPr>
    </w:p>
    <w:p>
      <w:pPr>
        <w:pStyle w:val="19"/>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1"/>
        <w:rPr>
          <w:rFonts w:hint="eastAsia" w:ascii="黑体" w:hAnsi="黑体" w:eastAsia="黑体" w:cs="黑体"/>
          <w:kern w:val="2"/>
          <w:sz w:val="28"/>
          <w:szCs w:val="24"/>
          <w:highlight w:val="none"/>
          <w:lang w:val="en-US" w:eastAsia="zh-CN" w:bidi="ar-SA"/>
        </w:rPr>
      </w:pPr>
      <w:bookmarkStart w:id="2" w:name="_Toc1055"/>
      <w:bookmarkStart w:id="3" w:name="_Toc18089"/>
      <w:r>
        <w:rPr>
          <w:rFonts w:hint="eastAsia" w:ascii="黑体" w:hAnsi="黑体" w:eastAsia="黑体" w:cs="黑体"/>
          <w:kern w:val="2"/>
          <w:sz w:val="28"/>
          <w:szCs w:val="24"/>
          <w:highlight w:val="none"/>
          <w:lang w:val="en-US" w:eastAsia="zh-CN" w:bidi="ar-SA"/>
        </w:rPr>
        <w:t>采购条件</w:t>
      </w:r>
      <w:bookmarkEnd w:id="2"/>
      <w:bookmarkEnd w:id="3"/>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kern w:val="2"/>
          <w:sz w:val="28"/>
          <w:szCs w:val="24"/>
          <w:highlight w:val="none"/>
          <w:lang w:val="en-US" w:eastAsia="zh-CN" w:bidi="ar-SA"/>
        </w:rPr>
      </w:pPr>
      <w:r>
        <w:rPr>
          <w:rFonts w:hint="eastAsia" w:cs="Times New Roman"/>
          <w:kern w:val="2"/>
          <w:sz w:val="28"/>
          <w:szCs w:val="24"/>
          <w:highlight w:val="none"/>
          <w:lang w:val="en-US" w:eastAsia="zh-CN" w:bidi="ar-SA"/>
        </w:rPr>
        <w:t>达州绕城高速西段</w:t>
      </w:r>
      <w:r>
        <w:rPr>
          <w:rFonts w:hint="eastAsia" w:ascii="Times New Roman" w:hAnsi="Times New Roman" w:cs="Times New Roman"/>
          <w:kern w:val="2"/>
          <w:sz w:val="28"/>
          <w:szCs w:val="24"/>
          <w:highlight w:val="none"/>
          <w:lang w:val="en-US" w:eastAsia="zh-CN" w:bidi="ar-SA"/>
        </w:rPr>
        <w:t>钢材</w:t>
      </w:r>
      <w:r>
        <w:rPr>
          <w:rFonts w:hint="eastAsia" w:cs="Times New Roman"/>
          <w:kern w:val="2"/>
          <w:sz w:val="28"/>
          <w:szCs w:val="24"/>
          <w:highlight w:val="none"/>
          <w:lang w:val="en-US" w:eastAsia="zh-CN" w:bidi="ar-SA"/>
        </w:rPr>
        <w:t>公开询价</w:t>
      </w:r>
      <w:r>
        <w:rPr>
          <w:rFonts w:hint="eastAsia" w:ascii="Times New Roman" w:hAnsi="Times New Roman" w:cs="Times New Roman"/>
          <w:kern w:val="2"/>
          <w:sz w:val="28"/>
          <w:szCs w:val="24"/>
          <w:highlight w:val="none"/>
          <w:lang w:val="en-US" w:eastAsia="zh-CN" w:bidi="ar-SA"/>
        </w:rPr>
        <w:t>采购项目</w:t>
      </w:r>
      <w:r>
        <w:rPr>
          <w:rFonts w:hint="default" w:ascii="Times New Roman" w:hAnsi="Times New Roman" w:cs="Times New Roman"/>
          <w:kern w:val="2"/>
          <w:sz w:val="28"/>
          <w:szCs w:val="24"/>
          <w:highlight w:val="none"/>
          <w:lang w:val="en-US" w:eastAsia="zh-CN" w:bidi="ar-SA"/>
        </w:rPr>
        <w:t>(</w:t>
      </w:r>
      <w:r>
        <w:rPr>
          <w:rFonts w:hint="eastAsia" w:ascii="Times New Roman" w:hAnsi="Times New Roman" w:cs="Times New Roman"/>
          <w:kern w:val="2"/>
          <w:sz w:val="28"/>
          <w:szCs w:val="24"/>
          <w:highlight w:val="none"/>
          <w:lang w:val="en-US" w:eastAsia="zh-CN" w:bidi="ar-SA"/>
        </w:rPr>
        <w:t>以下称</w:t>
      </w:r>
      <w:r>
        <w:rPr>
          <w:rFonts w:hint="default" w:ascii="Times New Roman" w:hAnsi="Times New Roman" w:cs="Times New Roman"/>
          <w:kern w:val="2"/>
          <w:sz w:val="28"/>
          <w:szCs w:val="24"/>
          <w:highlight w:val="none"/>
          <w:lang w:val="en-US" w:eastAsia="zh-CN" w:bidi="ar-SA"/>
        </w:rPr>
        <w:t>“</w:t>
      </w:r>
      <w:r>
        <w:rPr>
          <w:rFonts w:hint="eastAsia" w:ascii="Times New Roman" w:hAnsi="Times New Roman" w:cs="Times New Roman"/>
          <w:kern w:val="2"/>
          <w:sz w:val="28"/>
          <w:szCs w:val="24"/>
          <w:highlight w:val="none"/>
          <w:lang w:val="en-US" w:eastAsia="zh-CN" w:bidi="ar-SA"/>
        </w:rPr>
        <w:t>本项目</w:t>
      </w:r>
      <w:r>
        <w:rPr>
          <w:rFonts w:hint="default" w:ascii="Times New Roman" w:hAnsi="Times New Roman" w:cs="Times New Roman"/>
          <w:kern w:val="2"/>
          <w:sz w:val="28"/>
          <w:szCs w:val="24"/>
          <w:highlight w:val="none"/>
          <w:lang w:val="en-US" w:eastAsia="zh-CN" w:bidi="ar-SA"/>
        </w:rPr>
        <w:t>”)</w:t>
      </w:r>
      <w:r>
        <w:rPr>
          <w:rFonts w:hint="eastAsia" w:ascii="Times New Roman" w:hAnsi="Times New Roman" w:cs="Times New Roman"/>
          <w:kern w:val="2"/>
          <w:sz w:val="28"/>
          <w:szCs w:val="24"/>
          <w:highlight w:val="none"/>
          <w:lang w:val="en-US" w:eastAsia="zh-CN" w:bidi="ar-SA"/>
        </w:rPr>
        <w:t>采购人为四川蜀物兴川物流发展有限公司</w:t>
      </w:r>
      <w:r>
        <w:rPr>
          <w:rFonts w:hint="eastAsia" w:cs="Times New Roman"/>
          <w:kern w:val="2"/>
          <w:sz w:val="28"/>
          <w:szCs w:val="24"/>
          <w:highlight w:val="none"/>
          <w:lang w:val="en-US" w:eastAsia="zh-CN" w:bidi="ar-SA"/>
        </w:rPr>
        <w:t>，采购人为满足达州绕城高速西段RX2项目、达州绕城高速西段RX1项目建设所需钢材供应，拟通过公开询价方式就上述项目确定1家供应商，</w:t>
      </w:r>
      <w:r>
        <w:rPr>
          <w:rFonts w:hint="eastAsia" w:ascii="Times New Roman" w:hAnsi="Times New Roman" w:cs="Times New Roman"/>
          <w:kern w:val="2"/>
          <w:sz w:val="28"/>
          <w:szCs w:val="24"/>
          <w:highlight w:val="none"/>
          <w:lang w:val="en-US" w:eastAsia="zh-CN" w:bidi="ar-SA"/>
        </w:rPr>
        <w:t>现</w:t>
      </w:r>
      <w:r>
        <w:rPr>
          <w:rFonts w:hint="eastAsia" w:cs="Times New Roman"/>
          <w:kern w:val="2"/>
          <w:sz w:val="28"/>
          <w:szCs w:val="24"/>
          <w:highlight w:val="none"/>
          <w:lang w:val="en-US" w:eastAsia="zh-CN" w:bidi="ar-SA"/>
        </w:rPr>
        <w:t>邀请符合条件单位进行报价</w:t>
      </w:r>
      <w:r>
        <w:rPr>
          <w:rFonts w:hint="eastAsia" w:ascii="Times New Roman" w:hAnsi="Times New Roman" w:cs="Times New Roman"/>
          <w:kern w:val="2"/>
          <w:sz w:val="28"/>
          <w:szCs w:val="24"/>
          <w:highlight w:val="none"/>
          <w:lang w:val="en-US" w:eastAsia="zh-CN" w:bidi="ar-SA"/>
        </w:rPr>
        <w:t>。</w:t>
      </w:r>
    </w:p>
    <w:p>
      <w:pPr>
        <w:pStyle w:val="19"/>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1"/>
        <w:rPr>
          <w:rFonts w:hint="default" w:ascii="黑体" w:hAnsi="黑体" w:eastAsia="黑体" w:cs="黑体"/>
          <w:kern w:val="2"/>
          <w:sz w:val="28"/>
          <w:szCs w:val="24"/>
          <w:highlight w:val="none"/>
          <w:lang w:val="en-US" w:eastAsia="zh-CN" w:bidi="ar-SA"/>
        </w:rPr>
      </w:pPr>
      <w:bookmarkStart w:id="4" w:name="_Toc16003"/>
      <w:bookmarkStart w:id="5" w:name="_Toc13386"/>
      <w:r>
        <w:rPr>
          <w:rFonts w:hint="default" w:ascii="黑体" w:hAnsi="黑体" w:eastAsia="黑体" w:cs="黑体"/>
          <w:kern w:val="2"/>
          <w:sz w:val="28"/>
          <w:szCs w:val="24"/>
          <w:highlight w:val="none"/>
          <w:lang w:val="en-US" w:eastAsia="zh-CN" w:bidi="ar-SA"/>
        </w:rPr>
        <w:t>项目概况</w:t>
      </w:r>
      <w:bookmarkEnd w:id="4"/>
      <w:bookmarkEnd w:id="5"/>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（一）钢材品种：盘圆、螺纹钢、工字钢、角钢、钢板、无缝钢管、无缝钢管等。</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（二）</w:t>
      </w:r>
      <w:r>
        <w:rPr>
          <w:rFonts w:hint="default" w:cs="Times New Roman"/>
          <w:kern w:val="2"/>
          <w:sz w:val="28"/>
          <w:szCs w:val="24"/>
          <w:highlight w:val="none"/>
          <w:lang w:val="en-US" w:eastAsia="zh-CN" w:bidi="ar-SA"/>
        </w:rPr>
        <w:t>采购范围</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本项目共计4</w:t>
      </w:r>
      <w:r>
        <w:rPr>
          <w:rFonts w:hint="default" w:cs="Times New Roman"/>
          <w:kern w:val="2"/>
          <w:sz w:val="28"/>
          <w:szCs w:val="24"/>
          <w:highlight w:val="none"/>
          <w:lang w:val="en-US" w:eastAsia="zh-CN" w:bidi="ar-SA"/>
        </w:rPr>
        <w:t>个</w:t>
      </w:r>
      <w:r>
        <w:rPr>
          <w:rFonts w:hint="eastAsia" w:cs="Times New Roman"/>
          <w:kern w:val="2"/>
          <w:sz w:val="28"/>
          <w:szCs w:val="24"/>
          <w:highlight w:val="none"/>
          <w:lang w:val="en-US" w:eastAsia="zh-CN" w:bidi="ar-SA"/>
        </w:rPr>
        <w:t>包件，同一报价单位可进行多个包价报价。包件</w:t>
      </w:r>
      <w:r>
        <w:rPr>
          <w:rFonts w:hint="default" w:cs="Times New Roman"/>
          <w:kern w:val="2"/>
          <w:sz w:val="28"/>
          <w:szCs w:val="24"/>
          <w:highlight w:val="none"/>
          <w:lang w:val="en-US" w:eastAsia="zh-CN" w:bidi="ar-SA"/>
        </w:rPr>
        <w:t>如下</w:t>
      </w:r>
      <w:r>
        <w:rPr>
          <w:rFonts w:hint="eastAsia" w:cs="Times New Roman"/>
          <w:kern w:val="2"/>
          <w:sz w:val="28"/>
          <w:szCs w:val="24"/>
          <w:highlight w:val="none"/>
          <w:lang w:val="en-US" w:eastAsia="zh-CN" w:bidi="ar-SA"/>
        </w:rPr>
        <w:t>：</w:t>
      </w:r>
    </w:p>
    <w:tbl>
      <w:tblPr>
        <w:tblStyle w:val="2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2013"/>
        <w:gridCol w:w="1415"/>
        <w:gridCol w:w="2643"/>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包件号</w:t>
            </w:r>
          </w:p>
        </w:tc>
        <w:tc>
          <w:tcPr>
            <w:tcW w:w="12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项目名称</w:t>
            </w:r>
          </w:p>
        </w:tc>
        <w:tc>
          <w:tcPr>
            <w:tcW w:w="20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收货地址</w:t>
            </w:r>
          </w:p>
        </w:tc>
        <w:tc>
          <w:tcPr>
            <w:tcW w:w="14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黑体" w:hAnsi="黑体" w:eastAsia="黑体" w:cs="黑体"/>
                <w:b w:val="0"/>
                <w:bCs w:val="0"/>
                <w:i w:val="0"/>
                <w:iCs w:val="0"/>
                <w:color w:val="000000"/>
                <w:sz w:val="21"/>
                <w:szCs w:val="21"/>
                <w:highlight w:val="none"/>
                <w:u w:val="none"/>
                <w:lang w:val="en-US"/>
              </w:rPr>
            </w:pPr>
            <w:r>
              <w:rPr>
                <w:rFonts w:hint="eastAsia" w:ascii="黑体" w:hAnsi="黑体" w:eastAsia="黑体" w:cs="黑体"/>
                <w:b w:val="0"/>
                <w:bCs w:val="0"/>
                <w:i w:val="0"/>
                <w:iCs w:val="0"/>
                <w:color w:val="000000"/>
                <w:kern w:val="0"/>
                <w:sz w:val="21"/>
                <w:szCs w:val="21"/>
                <w:highlight w:val="none"/>
                <w:u w:val="none"/>
                <w:lang w:val="en-US" w:eastAsia="zh-CN" w:bidi="ar"/>
              </w:rPr>
              <w:t>材料名称</w:t>
            </w:r>
          </w:p>
        </w:tc>
        <w:tc>
          <w:tcPr>
            <w:tcW w:w="26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规格型号</w:t>
            </w:r>
          </w:p>
        </w:tc>
        <w:tc>
          <w:tcPr>
            <w:tcW w:w="12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预估数量</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黑体" w:hAnsi="黑体" w:eastAsia="黑体" w:cs="黑体"/>
                <w:b w:val="0"/>
                <w:bCs w:val="0"/>
                <w:i w:val="0"/>
                <w:iCs w:val="0"/>
                <w:color w:val="000000"/>
                <w:sz w:val="21"/>
                <w:szCs w:val="21"/>
                <w:highlight w:val="none"/>
                <w:u w:val="none"/>
                <w:lang w:val="en-US"/>
              </w:rPr>
            </w:pPr>
            <w:r>
              <w:rPr>
                <w:rFonts w:hint="eastAsia" w:ascii="黑体" w:hAnsi="黑体" w:eastAsia="黑体" w:cs="黑体"/>
                <w:b w:val="0"/>
                <w:bCs w:val="0"/>
                <w:i w:val="0"/>
                <w:iCs w:val="0"/>
                <w:color w:val="000000"/>
                <w:kern w:val="0"/>
                <w:sz w:val="21"/>
                <w:szCs w:val="21"/>
                <w:highlight w:val="none"/>
                <w:u w:val="none"/>
                <w:lang w:val="en-US" w:eastAsia="zh-CN" w:bidi="ar"/>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包件1</w:t>
            </w:r>
          </w:p>
        </w:tc>
        <w:tc>
          <w:tcPr>
            <w:tcW w:w="12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达州绕城西段RX2钢材供应项目</w:t>
            </w:r>
          </w:p>
        </w:tc>
        <w:tc>
          <w:tcPr>
            <w:tcW w:w="201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达州市通川区复兴镇阎家湾、</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达州市达川区罐子镇陈家咀、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达州市达川区管村镇新岭村、</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达州市达川区大堰镇石佛镇石佛沟</w:t>
            </w: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盘圆</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HPB300Φ8</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sz w:val="20"/>
                <w:szCs w:val="20"/>
                <w:highlight w:val="none"/>
                <w:lang w:val="en-US" w:eastAsia="zh-CN"/>
              </w:rPr>
              <w:t>2416.35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钢板</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16mm</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无缝钢管</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Φ42*4</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焊管</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Φ42*4</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角钢</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∠63*40*7（6）L=60</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角钢</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∠63*63*6</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工字钢</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I18</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947.97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工字钢</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I20b</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工字钢</w:t>
            </w:r>
          </w:p>
        </w:tc>
        <w:tc>
          <w:tcPr>
            <w:tcW w:w="0" w:type="auto"/>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I22b</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427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合计</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210" w:firstLineChars="100"/>
              <w:jc w:val="center"/>
              <w:rPr>
                <w:rFonts w:hint="eastAsia" w:ascii="仿宋" w:hAnsi="仿宋" w:eastAsia="仿宋" w:cs="仿宋"/>
                <w:i w:val="0"/>
                <w:iCs w:val="0"/>
                <w:color w:val="000000"/>
                <w:sz w:val="21"/>
                <w:szCs w:val="21"/>
                <w:highlight w:val="none"/>
                <w:u w:val="none"/>
                <w:lang w:val="en-US" w:eastAsia="zh-CN"/>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210" w:firstLineChars="100"/>
              <w:jc w:val="center"/>
              <w:rPr>
                <w:rFonts w:hint="eastAsia" w:ascii="仿宋" w:hAnsi="仿宋" w:eastAsia="仿宋" w:cs="仿宋"/>
                <w:i w:val="0"/>
                <w:iCs w:val="0"/>
                <w:color w:val="000000"/>
                <w:sz w:val="21"/>
                <w:szCs w:val="21"/>
                <w:highlight w:val="none"/>
                <w:u w:val="none"/>
                <w:lang w:val="en-US" w:eastAsia="zh-CN"/>
              </w:rPr>
            </w:pP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10095.32</w:t>
            </w:r>
          </w:p>
        </w:tc>
      </w:tr>
    </w:tbl>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p>
    <w:tbl>
      <w:tblPr>
        <w:tblStyle w:val="2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2013"/>
        <w:gridCol w:w="1415"/>
        <w:gridCol w:w="2643"/>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包件号</w:t>
            </w:r>
          </w:p>
        </w:tc>
        <w:tc>
          <w:tcPr>
            <w:tcW w:w="12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项目名称</w:t>
            </w:r>
          </w:p>
        </w:tc>
        <w:tc>
          <w:tcPr>
            <w:tcW w:w="20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收货地址</w:t>
            </w:r>
          </w:p>
        </w:tc>
        <w:tc>
          <w:tcPr>
            <w:tcW w:w="14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黑体" w:hAnsi="黑体" w:eastAsia="黑体" w:cs="黑体"/>
                <w:b w:val="0"/>
                <w:bCs w:val="0"/>
                <w:i w:val="0"/>
                <w:iCs w:val="0"/>
                <w:color w:val="000000"/>
                <w:sz w:val="21"/>
                <w:szCs w:val="21"/>
                <w:highlight w:val="none"/>
                <w:u w:val="none"/>
                <w:lang w:val="en-US"/>
              </w:rPr>
            </w:pPr>
            <w:r>
              <w:rPr>
                <w:rFonts w:hint="eastAsia" w:ascii="黑体" w:hAnsi="黑体" w:eastAsia="黑体" w:cs="黑体"/>
                <w:b w:val="0"/>
                <w:bCs w:val="0"/>
                <w:i w:val="0"/>
                <w:iCs w:val="0"/>
                <w:color w:val="000000"/>
                <w:kern w:val="0"/>
                <w:sz w:val="21"/>
                <w:szCs w:val="21"/>
                <w:highlight w:val="none"/>
                <w:u w:val="none"/>
                <w:lang w:val="en-US" w:eastAsia="zh-CN" w:bidi="ar"/>
              </w:rPr>
              <w:t>材料名称</w:t>
            </w:r>
          </w:p>
        </w:tc>
        <w:tc>
          <w:tcPr>
            <w:tcW w:w="26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规格型号</w:t>
            </w:r>
          </w:p>
        </w:tc>
        <w:tc>
          <w:tcPr>
            <w:tcW w:w="12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预估数量</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黑体" w:hAnsi="黑体" w:eastAsia="黑体" w:cs="黑体"/>
                <w:b w:val="0"/>
                <w:bCs w:val="0"/>
                <w:i w:val="0"/>
                <w:iCs w:val="0"/>
                <w:color w:val="000000"/>
                <w:sz w:val="21"/>
                <w:szCs w:val="21"/>
                <w:highlight w:val="none"/>
                <w:u w:val="none"/>
                <w:lang w:val="en-US"/>
              </w:rPr>
            </w:pPr>
            <w:r>
              <w:rPr>
                <w:rFonts w:hint="eastAsia" w:ascii="黑体" w:hAnsi="黑体" w:eastAsia="黑体" w:cs="黑体"/>
                <w:b w:val="0"/>
                <w:bCs w:val="0"/>
                <w:i w:val="0"/>
                <w:iCs w:val="0"/>
                <w:color w:val="000000"/>
                <w:kern w:val="0"/>
                <w:sz w:val="21"/>
                <w:szCs w:val="21"/>
                <w:highlight w:val="none"/>
                <w:u w:val="none"/>
                <w:lang w:val="en-US" w:eastAsia="zh-CN" w:bidi="ar"/>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jc w:val="center"/>
        </w:trPr>
        <w:tc>
          <w:tcPr>
            <w:tcW w:w="98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包件2</w:t>
            </w:r>
          </w:p>
        </w:tc>
        <w:tc>
          <w:tcPr>
            <w:tcW w:w="12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达州绕城西段RX2钢材供应项目</w:t>
            </w:r>
          </w:p>
        </w:tc>
        <w:tc>
          <w:tcPr>
            <w:tcW w:w="201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四川省甘孜藏族自治州康定市二台子中桥</w:t>
            </w: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盘圆</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HPB300Φ6-8</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sz w:val="20"/>
                <w:szCs w:val="20"/>
                <w:highlight w:val="none"/>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jc w:val="center"/>
        </w:trPr>
        <w:tc>
          <w:tcPr>
            <w:tcW w:w="98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27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sz w:val="21"/>
                <w:szCs w:val="21"/>
                <w:highlight w:val="none"/>
                <w:u w:val="none"/>
                <w:lang w:val="en-US" w:eastAsia="zh-CN"/>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螺纹钢</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HRB400EΦ12-25</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钢板</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16mm</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无缝钢管</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Φ42*4</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焊管</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Φ42*4</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角钢</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∠63*40*7（6）L=60</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角钢</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∠63*63*6</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工字钢</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I18-I22b</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427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合计</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210" w:firstLineChars="100"/>
              <w:jc w:val="center"/>
              <w:rPr>
                <w:rFonts w:hint="eastAsia" w:ascii="仿宋" w:hAnsi="仿宋" w:eastAsia="仿宋" w:cs="仿宋"/>
                <w:i w:val="0"/>
                <w:iCs w:val="0"/>
                <w:color w:val="000000"/>
                <w:sz w:val="21"/>
                <w:szCs w:val="21"/>
                <w:highlight w:val="none"/>
                <w:u w:val="none"/>
                <w:lang w:val="en-US" w:eastAsia="zh-CN"/>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210" w:firstLineChars="100"/>
              <w:jc w:val="center"/>
              <w:rPr>
                <w:rFonts w:hint="eastAsia" w:ascii="仿宋" w:hAnsi="仿宋" w:eastAsia="仿宋" w:cs="仿宋"/>
                <w:i w:val="0"/>
                <w:iCs w:val="0"/>
                <w:color w:val="000000"/>
                <w:sz w:val="21"/>
                <w:szCs w:val="21"/>
                <w:highlight w:val="none"/>
                <w:u w:val="none"/>
                <w:lang w:val="en-US" w:eastAsia="zh-CN"/>
              </w:rPr>
            </w:pP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7410.00</w:t>
            </w:r>
          </w:p>
        </w:tc>
      </w:tr>
    </w:tbl>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p>
    <w:tbl>
      <w:tblPr>
        <w:tblStyle w:val="2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2013"/>
        <w:gridCol w:w="1415"/>
        <w:gridCol w:w="2643"/>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包件号</w:t>
            </w:r>
          </w:p>
        </w:tc>
        <w:tc>
          <w:tcPr>
            <w:tcW w:w="12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项目名称</w:t>
            </w:r>
          </w:p>
        </w:tc>
        <w:tc>
          <w:tcPr>
            <w:tcW w:w="20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收货地址</w:t>
            </w:r>
          </w:p>
        </w:tc>
        <w:tc>
          <w:tcPr>
            <w:tcW w:w="14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黑体" w:hAnsi="黑体" w:eastAsia="黑体" w:cs="黑体"/>
                <w:b w:val="0"/>
                <w:bCs w:val="0"/>
                <w:i w:val="0"/>
                <w:iCs w:val="0"/>
                <w:color w:val="000000"/>
                <w:sz w:val="21"/>
                <w:szCs w:val="21"/>
                <w:highlight w:val="none"/>
                <w:u w:val="none"/>
                <w:lang w:val="en-US"/>
              </w:rPr>
            </w:pPr>
            <w:r>
              <w:rPr>
                <w:rFonts w:hint="eastAsia" w:ascii="黑体" w:hAnsi="黑体" w:eastAsia="黑体" w:cs="黑体"/>
                <w:b w:val="0"/>
                <w:bCs w:val="0"/>
                <w:i w:val="0"/>
                <w:iCs w:val="0"/>
                <w:color w:val="000000"/>
                <w:kern w:val="0"/>
                <w:sz w:val="21"/>
                <w:szCs w:val="21"/>
                <w:highlight w:val="none"/>
                <w:u w:val="none"/>
                <w:lang w:val="en-US" w:eastAsia="zh-CN" w:bidi="ar"/>
              </w:rPr>
              <w:t>材料名称</w:t>
            </w:r>
          </w:p>
        </w:tc>
        <w:tc>
          <w:tcPr>
            <w:tcW w:w="26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规格型号</w:t>
            </w:r>
          </w:p>
        </w:tc>
        <w:tc>
          <w:tcPr>
            <w:tcW w:w="12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预估数量</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黑体" w:hAnsi="黑体" w:eastAsia="黑体" w:cs="黑体"/>
                <w:b w:val="0"/>
                <w:bCs w:val="0"/>
                <w:i w:val="0"/>
                <w:iCs w:val="0"/>
                <w:color w:val="000000"/>
                <w:sz w:val="21"/>
                <w:szCs w:val="21"/>
                <w:highlight w:val="none"/>
                <w:u w:val="none"/>
                <w:lang w:val="en-US"/>
              </w:rPr>
            </w:pPr>
            <w:r>
              <w:rPr>
                <w:rFonts w:hint="eastAsia" w:ascii="黑体" w:hAnsi="黑体" w:eastAsia="黑体" w:cs="黑体"/>
                <w:b w:val="0"/>
                <w:bCs w:val="0"/>
                <w:i w:val="0"/>
                <w:iCs w:val="0"/>
                <w:color w:val="000000"/>
                <w:kern w:val="0"/>
                <w:sz w:val="21"/>
                <w:szCs w:val="21"/>
                <w:highlight w:val="none"/>
                <w:u w:val="none"/>
                <w:lang w:val="en-US" w:eastAsia="zh-CN" w:bidi="ar"/>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jc w:val="center"/>
        </w:trPr>
        <w:tc>
          <w:tcPr>
            <w:tcW w:w="98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包件3</w:t>
            </w:r>
          </w:p>
        </w:tc>
        <w:tc>
          <w:tcPr>
            <w:tcW w:w="12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达州绕城西段RX2钢材供应项目</w:t>
            </w:r>
          </w:p>
        </w:tc>
        <w:tc>
          <w:tcPr>
            <w:tcW w:w="201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通江县两河口镇韩家岭和张家岭之间、通江县两河口镇三官庙村、</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通江县两河口镇大石头湾、</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通江县两河口镇枣子树坪</w:t>
            </w: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螺纹钢</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HRB400EΦ12-32</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sz w:val="20"/>
                <w:szCs w:val="20"/>
                <w:highlight w:val="none"/>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盘圆</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HPB300Φ6-10</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钢板</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5-30mm</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无缝钢管</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Φ42*4</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焊管</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Φ42*4</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角钢</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∠63*40*7（6）L=60</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角钢</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∠63*63*6</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工字钢</w:t>
            </w:r>
          </w:p>
        </w:tc>
        <w:tc>
          <w:tcPr>
            <w:tcW w:w="2643"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I18-I22b</w:t>
            </w: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427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合计</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210" w:firstLineChars="100"/>
              <w:jc w:val="center"/>
              <w:rPr>
                <w:rFonts w:hint="eastAsia" w:ascii="仿宋" w:hAnsi="仿宋" w:eastAsia="仿宋" w:cs="仿宋"/>
                <w:i w:val="0"/>
                <w:iCs w:val="0"/>
                <w:color w:val="000000"/>
                <w:sz w:val="21"/>
                <w:szCs w:val="21"/>
                <w:highlight w:val="none"/>
                <w:u w:val="none"/>
                <w:lang w:val="en-US" w:eastAsia="zh-CN"/>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210" w:firstLineChars="100"/>
              <w:jc w:val="center"/>
              <w:rPr>
                <w:rFonts w:hint="eastAsia" w:ascii="仿宋" w:hAnsi="仿宋" w:eastAsia="仿宋" w:cs="仿宋"/>
                <w:i w:val="0"/>
                <w:iCs w:val="0"/>
                <w:color w:val="000000"/>
                <w:sz w:val="21"/>
                <w:szCs w:val="21"/>
                <w:highlight w:val="none"/>
                <w:u w:val="none"/>
                <w:lang w:val="en-US" w:eastAsia="zh-CN"/>
              </w:rPr>
            </w:pP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5855.00</w:t>
            </w:r>
          </w:p>
        </w:tc>
      </w:tr>
    </w:tbl>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p>
    <w:tbl>
      <w:tblPr>
        <w:tblStyle w:val="2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2013"/>
        <w:gridCol w:w="1415"/>
        <w:gridCol w:w="2643"/>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9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包件号</w:t>
            </w:r>
          </w:p>
        </w:tc>
        <w:tc>
          <w:tcPr>
            <w:tcW w:w="12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项目名称</w:t>
            </w:r>
          </w:p>
        </w:tc>
        <w:tc>
          <w:tcPr>
            <w:tcW w:w="20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收货地址</w:t>
            </w:r>
          </w:p>
        </w:tc>
        <w:tc>
          <w:tcPr>
            <w:tcW w:w="14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黑体" w:hAnsi="黑体" w:eastAsia="黑体" w:cs="黑体"/>
                <w:b w:val="0"/>
                <w:bCs w:val="0"/>
                <w:i w:val="0"/>
                <w:iCs w:val="0"/>
                <w:color w:val="000000"/>
                <w:sz w:val="21"/>
                <w:szCs w:val="21"/>
                <w:highlight w:val="none"/>
                <w:u w:val="none"/>
                <w:lang w:val="en-US"/>
              </w:rPr>
            </w:pPr>
            <w:r>
              <w:rPr>
                <w:rFonts w:hint="eastAsia" w:ascii="黑体" w:hAnsi="黑体" w:eastAsia="黑体" w:cs="黑体"/>
                <w:b w:val="0"/>
                <w:bCs w:val="0"/>
                <w:i w:val="0"/>
                <w:iCs w:val="0"/>
                <w:color w:val="000000"/>
                <w:kern w:val="0"/>
                <w:sz w:val="21"/>
                <w:szCs w:val="21"/>
                <w:highlight w:val="none"/>
                <w:u w:val="none"/>
                <w:lang w:val="en-US" w:eastAsia="zh-CN" w:bidi="ar"/>
              </w:rPr>
              <w:t>材料名称</w:t>
            </w:r>
          </w:p>
        </w:tc>
        <w:tc>
          <w:tcPr>
            <w:tcW w:w="26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规格型号</w:t>
            </w:r>
          </w:p>
        </w:tc>
        <w:tc>
          <w:tcPr>
            <w:tcW w:w="12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预估数量</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黑体" w:hAnsi="黑体" w:eastAsia="黑体" w:cs="黑体"/>
                <w:b w:val="0"/>
                <w:bCs w:val="0"/>
                <w:i w:val="0"/>
                <w:iCs w:val="0"/>
                <w:color w:val="000000"/>
                <w:sz w:val="21"/>
                <w:szCs w:val="21"/>
                <w:highlight w:val="none"/>
                <w:u w:val="none"/>
                <w:lang w:val="en-US"/>
              </w:rPr>
            </w:pPr>
            <w:r>
              <w:rPr>
                <w:rFonts w:hint="eastAsia" w:ascii="黑体" w:hAnsi="黑体" w:eastAsia="黑体" w:cs="黑体"/>
                <w:b w:val="0"/>
                <w:bCs w:val="0"/>
                <w:i w:val="0"/>
                <w:iCs w:val="0"/>
                <w:color w:val="000000"/>
                <w:kern w:val="0"/>
                <w:sz w:val="21"/>
                <w:szCs w:val="21"/>
                <w:highlight w:val="none"/>
                <w:u w:val="none"/>
                <w:lang w:val="en-US" w:eastAsia="zh-CN" w:bidi="ar"/>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包件4</w:t>
            </w:r>
          </w:p>
        </w:tc>
        <w:tc>
          <w:tcPr>
            <w:tcW w:w="12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达州绕城西段RX1钢材供应项目</w:t>
            </w:r>
          </w:p>
        </w:tc>
        <w:tc>
          <w:tcPr>
            <w:tcW w:w="201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达州市通川区双龙镇石匣子、</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达州市通川区双龙镇向家坝、</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sz w:val="21"/>
                <w:szCs w:val="21"/>
                <w:highlight w:val="none"/>
                <w:u w:val="none"/>
                <w:lang w:val="en-US" w:eastAsia="zh-CN"/>
              </w:rPr>
              <w:t>达州市达川区大堰镇田家庙</w:t>
            </w:r>
          </w:p>
        </w:tc>
        <w:tc>
          <w:tcPr>
            <w:tcW w:w="1415"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工字钢</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20</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工字钢</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18</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3889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工字钢</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16</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2783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工字钢</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14</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钢板</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10mm（Q235B）</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钢板</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14mm（Q235B）</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钢板</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16mm（Q235B）</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default"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钢板</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30mm（Q235B）</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无缝钢管</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φ108*6热轧无缝</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无缝钢管</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φ102*6热轧无缝</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无缝钢管</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φ140*8热轧无缝</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角钢</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50*32*3</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415"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角钢</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100*100*8</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987" w:type="dxa"/>
            <w:vMerge w:val="continue"/>
            <w:shd w:val="clear" w:color="auto" w:fill="auto"/>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1275" w:type="dxa"/>
            <w:vMerge w:val="continue"/>
            <w:shd w:val="clear" w:color="auto" w:fill="auto"/>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000000"/>
                <w:sz w:val="21"/>
                <w:szCs w:val="21"/>
                <w:highlight w:val="none"/>
                <w:u w:val="none"/>
              </w:rPr>
            </w:pPr>
          </w:p>
        </w:tc>
        <w:tc>
          <w:tcPr>
            <w:tcW w:w="2013" w:type="dxa"/>
            <w:vMerge w:val="continu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0" w:type="auto"/>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角钢</w:t>
            </w:r>
          </w:p>
        </w:tc>
        <w:tc>
          <w:tcPr>
            <w:tcW w:w="2643" w:type="dxa"/>
            <w:shd w:val="clear" w:color="auto" w:fill="auto"/>
            <w:vAlign w:val="center"/>
          </w:tcPr>
          <w:p>
            <w:pPr>
              <w:keepNext w:val="0"/>
              <w:keepLines w:val="0"/>
              <w:widowControl/>
              <w:suppressLineNumbers w:val="0"/>
              <w:ind w:firstLine="400" w:firstLineChars="20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75*75*7</w:t>
            </w:r>
          </w:p>
        </w:tc>
        <w:tc>
          <w:tcPr>
            <w:tcW w:w="1292" w:type="dxa"/>
            <w:shd w:val="clear" w:color="auto" w:fill="auto"/>
            <w:vAlign w:val="center"/>
          </w:tcPr>
          <w:p>
            <w:pPr>
              <w:keepNext w:val="0"/>
              <w:keepLines w:val="0"/>
              <w:widowControl/>
              <w:suppressLineNumbers w:val="0"/>
              <w:ind w:firstLine="400" w:firstLineChars="200"/>
              <w:jc w:val="both"/>
              <w:textAlignment w:val="center"/>
              <w:rPr>
                <w:rFonts w:hint="eastAsia" w:ascii="仿宋" w:hAnsi="仿宋" w:eastAsia="仿宋" w:cs="仿宋"/>
                <w:sz w:val="20"/>
                <w:szCs w:val="20"/>
                <w:highlight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427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合计</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200" w:firstLineChars="100"/>
              <w:jc w:val="center"/>
              <w:rPr>
                <w:rFonts w:hint="eastAsia" w:ascii="仿宋" w:hAnsi="仿宋" w:eastAsia="仿宋" w:cs="仿宋"/>
                <w:i w:val="0"/>
                <w:iCs w:val="0"/>
                <w:color w:val="000000"/>
                <w:sz w:val="20"/>
                <w:szCs w:val="20"/>
                <w:highlight w:val="none"/>
                <w:u w:val="none"/>
                <w:lang w:val="en-US" w:eastAsia="zh-CN"/>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200" w:firstLineChars="100"/>
              <w:jc w:val="center"/>
              <w:rPr>
                <w:rFonts w:hint="eastAsia" w:ascii="仿宋" w:hAnsi="仿宋" w:eastAsia="仿宋" w:cs="仿宋"/>
                <w:i w:val="0"/>
                <w:iCs w:val="0"/>
                <w:color w:val="000000"/>
                <w:sz w:val="20"/>
                <w:szCs w:val="20"/>
                <w:highlight w:val="none"/>
                <w:u w:val="none"/>
                <w:lang w:val="en-US" w:eastAsia="zh-CN"/>
              </w:rPr>
            </w:pPr>
          </w:p>
        </w:tc>
        <w:tc>
          <w:tcPr>
            <w:tcW w:w="1292" w:type="dxa"/>
            <w:shd w:val="clear" w:color="auto" w:fill="auto"/>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10724</w:t>
            </w:r>
          </w:p>
        </w:tc>
      </w:tr>
    </w:tbl>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上述数量为预估，不是采购人承诺合同数量，最终结算数量以采购人实际签收货物数量为准。采购人有权根据项目实际需求进行数量调整，且定价方式不变，申请人不以采购文件与合同预估数量作为预期可得利益</w:t>
      </w:r>
      <w:r>
        <w:rPr>
          <w:rFonts w:hint="default" w:cs="Times New Roman"/>
          <w:kern w:val="2"/>
          <w:sz w:val="28"/>
          <w:szCs w:val="24"/>
          <w:highlight w:val="none"/>
          <w:lang w:val="en-US" w:eastAsia="zh-CN" w:bidi="ar-SA"/>
        </w:rPr>
        <w:t>。</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（三）</w:t>
      </w:r>
      <w:r>
        <w:rPr>
          <w:rFonts w:hint="default" w:cs="Times New Roman"/>
          <w:kern w:val="2"/>
          <w:sz w:val="28"/>
          <w:szCs w:val="24"/>
          <w:highlight w:val="none"/>
          <w:lang w:val="en-US" w:eastAsia="zh-CN" w:bidi="ar-SA"/>
        </w:rPr>
        <w:t>报价须知</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1.结算价=基准价+固定费用。</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color w:val="000000" w:themeColor="text1"/>
          <w:kern w:val="2"/>
          <w:sz w:val="28"/>
          <w:szCs w:val="24"/>
          <w:highlight w:val="none"/>
          <w:lang w:val="en-US" w:eastAsia="zh-CN" w:bidi="ar-SA"/>
          <w14:textFill>
            <w14:solidFill>
              <w14:schemeClr w14:val="tx1"/>
            </w14:solidFill>
          </w14:textFill>
        </w:rPr>
      </w:pPr>
      <w:r>
        <w:rPr>
          <w:rFonts w:hint="eastAsia" w:cs="Times New Roman"/>
          <w:kern w:val="2"/>
          <w:sz w:val="28"/>
          <w:szCs w:val="24"/>
          <w:highlight w:val="none"/>
          <w:lang w:val="en-US" w:eastAsia="zh-CN" w:bidi="ar-SA"/>
        </w:rPr>
        <w:t>2.</w:t>
      </w:r>
      <w:r>
        <w:rPr>
          <w:rFonts w:hint="default" w:cs="Times New Roman"/>
          <w:color w:val="000000" w:themeColor="text1"/>
          <w:kern w:val="2"/>
          <w:sz w:val="28"/>
          <w:szCs w:val="24"/>
          <w:highlight w:val="none"/>
          <w:lang w:val="en-US" w:eastAsia="zh-CN" w:bidi="ar-SA"/>
          <w14:textFill>
            <w14:solidFill>
              <w14:schemeClr w14:val="tx1"/>
            </w14:solidFill>
          </w14:textFill>
        </w:rPr>
        <w:t>达州绕城高速西段</w:t>
      </w:r>
      <w:r>
        <w:rPr>
          <w:rFonts w:hint="eastAsia" w:cs="Times New Roman"/>
          <w:kern w:val="2"/>
          <w:sz w:val="28"/>
          <w:szCs w:val="24"/>
          <w:highlight w:val="none"/>
          <w:lang w:val="en-US" w:eastAsia="zh-CN" w:bidi="ar-SA"/>
        </w:rPr>
        <w:t>RX2</w:t>
      </w:r>
      <w:r>
        <w:rPr>
          <w:rFonts w:hint="default" w:cs="Times New Roman"/>
          <w:color w:val="000000" w:themeColor="text1"/>
          <w:kern w:val="2"/>
          <w:sz w:val="28"/>
          <w:szCs w:val="24"/>
          <w:highlight w:val="none"/>
          <w:lang w:val="en-US" w:eastAsia="zh-CN" w:bidi="ar-SA"/>
          <w14:textFill>
            <w14:solidFill>
              <w14:schemeClr w14:val="tx1"/>
            </w14:solidFill>
          </w14:textFill>
        </w:rPr>
        <w:t>项目</w:t>
      </w:r>
      <w:r>
        <w:rPr>
          <w:rFonts w:hint="eastAsia" w:cs="Times New Roman"/>
          <w:color w:val="000000" w:themeColor="text1"/>
          <w:kern w:val="2"/>
          <w:sz w:val="28"/>
          <w:szCs w:val="24"/>
          <w:highlight w:val="none"/>
          <w:lang w:val="en-US" w:eastAsia="zh-CN" w:bidi="ar-SA"/>
          <w14:textFill>
            <w14:solidFill>
              <w14:schemeClr w14:val="tx1"/>
            </w14:solidFill>
          </w14:textFill>
        </w:rPr>
        <w:t>基准价：在到货当日“我的钢铁网”成都区域价格行情中</w:t>
      </w:r>
      <w:r>
        <w:rPr>
          <w:rFonts w:hint="eastAsia" w:cs="Times New Roman"/>
          <w:color w:val="000000" w:themeColor="text1"/>
          <w:kern w:val="2"/>
          <w:sz w:val="28"/>
          <w:szCs w:val="24"/>
          <w:highlight w:val="none"/>
          <w:u w:val="single"/>
          <w:lang w:val="en-US" w:eastAsia="zh-CN" w:bidi="ar-SA"/>
          <w14:textFill>
            <w14:solidFill>
              <w14:schemeClr w14:val="tx1"/>
            </w14:solidFill>
          </w14:textFill>
        </w:rPr>
        <w:t>达钢</w:t>
      </w:r>
      <w:r>
        <w:rPr>
          <w:rFonts w:hint="eastAsia" w:cs="Times New Roman"/>
          <w:color w:val="000000" w:themeColor="text1"/>
          <w:kern w:val="2"/>
          <w:sz w:val="28"/>
          <w:szCs w:val="24"/>
          <w:highlight w:val="none"/>
          <w:lang w:val="en-US" w:eastAsia="zh-CN" w:bidi="ar-SA"/>
          <w14:textFill>
            <w14:solidFill>
              <w14:schemeClr w14:val="tx1"/>
            </w14:solidFill>
          </w14:textFill>
        </w:rPr>
        <w:t>对应的钢筋网价、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昆钢、日照</w:t>
      </w:r>
      <w:r>
        <w:rPr>
          <w:rFonts w:hint="eastAsia" w:cs="Times New Roman"/>
          <w:color w:val="000000" w:themeColor="text1"/>
          <w:kern w:val="2"/>
          <w:sz w:val="28"/>
          <w:szCs w:val="24"/>
          <w:highlight w:val="none"/>
          <w:lang w:val="en-US" w:eastAsia="zh-CN" w:bidi="ar-SA"/>
          <w14:textFill>
            <w14:solidFill>
              <w14:schemeClr w14:val="tx1"/>
            </w14:solidFill>
          </w14:textFill>
        </w:rPr>
        <w:t>对应的工字钢网价、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传洋</w:t>
      </w:r>
      <w:r>
        <w:rPr>
          <w:rFonts w:hint="eastAsia" w:cs="Times New Roman"/>
          <w:color w:val="000000" w:themeColor="text1"/>
          <w:kern w:val="2"/>
          <w:sz w:val="28"/>
          <w:szCs w:val="24"/>
          <w:highlight w:val="none"/>
          <w:lang w:val="en-US" w:eastAsia="zh-CN" w:bidi="ar-SA"/>
          <w14:textFill>
            <w14:solidFill>
              <w14:schemeClr w14:val="tx1"/>
            </w14:solidFill>
          </w14:textFill>
        </w:rPr>
        <w:t>对应的角钢网价、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唐山欧联、日照</w:t>
      </w:r>
      <w:r>
        <w:rPr>
          <w:rFonts w:hint="eastAsia" w:cs="Times New Roman"/>
          <w:color w:val="000000" w:themeColor="text1"/>
          <w:kern w:val="2"/>
          <w:sz w:val="28"/>
          <w:szCs w:val="24"/>
          <w:highlight w:val="none"/>
          <w:lang w:val="en-US" w:eastAsia="zh-CN" w:bidi="ar-SA"/>
          <w14:textFill>
            <w14:solidFill>
              <w14:schemeClr w14:val="tx1"/>
            </w14:solidFill>
          </w14:textFill>
        </w:rPr>
        <w:t>对应的槽钢网价、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兴华、马钢</w:t>
      </w:r>
      <w:r>
        <w:rPr>
          <w:rFonts w:hint="eastAsia" w:cs="Times New Roman"/>
          <w:color w:val="000000" w:themeColor="text1"/>
          <w:kern w:val="2"/>
          <w:sz w:val="28"/>
          <w:szCs w:val="24"/>
          <w:highlight w:val="none"/>
          <w:lang w:val="en-US" w:eastAsia="zh-CN" w:bidi="ar-SA"/>
          <w14:textFill>
            <w14:solidFill>
              <w14:schemeClr w14:val="tx1"/>
            </w14:solidFill>
          </w14:textFill>
        </w:rPr>
        <w:t>对应的H型钢网价、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重钢、攀钢</w:t>
      </w:r>
      <w:r>
        <w:rPr>
          <w:rFonts w:hint="eastAsia" w:cs="Times New Roman"/>
          <w:color w:val="000000" w:themeColor="text1"/>
          <w:kern w:val="2"/>
          <w:sz w:val="28"/>
          <w:szCs w:val="24"/>
          <w:highlight w:val="none"/>
          <w:lang w:val="en-US" w:eastAsia="zh-CN" w:bidi="ar-SA"/>
          <w14:textFill>
            <w14:solidFill>
              <w14:schemeClr w14:val="tx1"/>
            </w14:solidFill>
          </w14:textFill>
        </w:rPr>
        <w:t>对应的板材网价、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华岐</w:t>
      </w:r>
      <w:r>
        <w:rPr>
          <w:rFonts w:hint="eastAsia" w:cs="Times New Roman"/>
          <w:color w:val="000000" w:themeColor="text1"/>
          <w:kern w:val="2"/>
          <w:sz w:val="28"/>
          <w:szCs w:val="24"/>
          <w:highlight w:val="none"/>
          <w:lang w:val="en-US" w:eastAsia="zh-CN" w:bidi="ar-SA"/>
          <w14:textFill>
            <w14:solidFill>
              <w14:schemeClr w14:val="tx1"/>
            </w14:solidFill>
          </w14:textFill>
        </w:rPr>
        <w:t>对应的焊管网价、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攀成钢</w:t>
      </w:r>
      <w:r>
        <w:rPr>
          <w:rFonts w:hint="eastAsia" w:cs="Times New Roman"/>
          <w:color w:val="000000" w:themeColor="text1"/>
          <w:kern w:val="2"/>
          <w:sz w:val="28"/>
          <w:szCs w:val="24"/>
          <w:highlight w:val="none"/>
          <w:lang w:val="en-US" w:eastAsia="zh-CN" w:bidi="ar-SA"/>
          <w14:textFill>
            <w14:solidFill>
              <w14:schemeClr w14:val="tx1"/>
            </w14:solidFill>
          </w14:textFill>
        </w:rPr>
        <w:t>对应的流体管网价、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四川振鸿</w:t>
      </w:r>
      <w:r>
        <w:rPr>
          <w:rFonts w:hint="eastAsia" w:cs="Times New Roman"/>
          <w:color w:val="000000" w:themeColor="text1"/>
          <w:kern w:val="2"/>
          <w:sz w:val="28"/>
          <w:szCs w:val="24"/>
          <w:highlight w:val="none"/>
          <w:lang w:val="en-US" w:eastAsia="zh-CN" w:bidi="ar-SA"/>
          <w14:textFill>
            <w14:solidFill>
              <w14:schemeClr w14:val="tx1"/>
            </w14:solidFill>
          </w14:textFill>
        </w:rPr>
        <w:t>对应的镀锌管网价（备注栏有特别说明的以备注栏价格结算）。如到货当日网上有多次价格公布，则以当日公布价格平均价为准，如到货当日是节假日网上未公布价格，则按前一天有网上公布价格为准。如所送钢材无相同厂家对应规格网价时，指定以对应型号钢筋、型材、板材或管材各厂家中最低报价作为参考网价；无网价的圆钢以对应规格螺纹钢网价为基准。</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3.</w:t>
      </w:r>
      <w:r>
        <w:rPr>
          <w:rFonts w:hint="default" w:cs="Times New Roman"/>
          <w:kern w:val="2"/>
          <w:sz w:val="28"/>
          <w:szCs w:val="24"/>
          <w:highlight w:val="none"/>
          <w:lang w:val="en-US" w:eastAsia="zh-CN" w:bidi="ar-SA"/>
        </w:rPr>
        <w:t>达州绕城高速西段RX1项目</w:t>
      </w:r>
      <w:r>
        <w:rPr>
          <w:rFonts w:hint="eastAsia" w:cs="Times New Roman"/>
          <w:kern w:val="2"/>
          <w:sz w:val="28"/>
          <w:szCs w:val="24"/>
          <w:highlight w:val="none"/>
          <w:lang w:val="en-US" w:eastAsia="zh-CN" w:bidi="ar-SA"/>
        </w:rPr>
        <w:t>基准价</w:t>
      </w:r>
      <w:r>
        <w:rPr>
          <w:rFonts w:hint="default" w:cs="Times New Roman"/>
          <w:kern w:val="2"/>
          <w:sz w:val="28"/>
          <w:szCs w:val="24"/>
          <w:highlight w:val="none"/>
          <w:lang w:val="en-US" w:eastAsia="zh-CN" w:bidi="ar-SA"/>
        </w:rPr>
        <w:t>：</w:t>
      </w:r>
      <w:r>
        <w:rPr>
          <w:rFonts w:hint="eastAsia" w:cs="Times New Roman"/>
          <w:kern w:val="2"/>
          <w:sz w:val="28"/>
          <w:szCs w:val="24"/>
          <w:highlight w:val="none"/>
          <w:lang w:val="en-US" w:eastAsia="zh-CN" w:bidi="ar-SA"/>
        </w:rPr>
        <w:t>为到货日“我的钢铁网”（https://www.mysteel.com/）发布的“成都”市场相对应规格型号的价格；</w:t>
      </w:r>
      <w:r>
        <w:rPr>
          <w:rFonts w:hint="default" w:cs="Times New Roman"/>
          <w:kern w:val="2"/>
          <w:sz w:val="28"/>
          <w:szCs w:val="24"/>
          <w:highlight w:val="none"/>
          <w:lang w:val="en-US" w:eastAsia="zh-CN" w:bidi="ar-SA"/>
        </w:rPr>
        <w:t>工字钢</w:t>
      </w:r>
      <w:r>
        <w:rPr>
          <w:rFonts w:hint="eastAsia" w:cs="Times New Roman"/>
          <w:kern w:val="2"/>
          <w:sz w:val="28"/>
          <w:szCs w:val="24"/>
          <w:highlight w:val="none"/>
          <w:lang w:val="en-US" w:eastAsia="zh-CN" w:bidi="ar-SA"/>
        </w:rPr>
        <w:t>：</w:t>
      </w:r>
      <w:r>
        <w:rPr>
          <w:rFonts w:hint="default" w:cs="Times New Roman"/>
          <w:kern w:val="2"/>
          <w:sz w:val="28"/>
          <w:szCs w:val="24"/>
          <w:highlight w:val="none"/>
          <w:lang w:val="en-US" w:eastAsia="zh-CN" w:bidi="ar-SA"/>
        </w:rPr>
        <w:t>14对应山西晋南网价</w:t>
      </w:r>
      <w:r>
        <w:rPr>
          <w:rFonts w:hint="eastAsia" w:cs="Times New Roman"/>
          <w:kern w:val="2"/>
          <w:sz w:val="28"/>
          <w:szCs w:val="24"/>
          <w:highlight w:val="none"/>
          <w:lang w:val="en-US" w:eastAsia="zh-CN" w:bidi="ar-SA"/>
        </w:rPr>
        <w:t>、16对应唐山弘泰网价、</w:t>
      </w:r>
      <w:r>
        <w:rPr>
          <w:rFonts w:hint="default" w:cs="Times New Roman"/>
          <w:kern w:val="2"/>
          <w:sz w:val="28"/>
          <w:szCs w:val="24"/>
          <w:highlight w:val="none"/>
          <w:lang w:val="en-US" w:eastAsia="zh-CN" w:bidi="ar-SA"/>
        </w:rPr>
        <w:t>18、20对应昆钢网价</w:t>
      </w:r>
      <w:r>
        <w:rPr>
          <w:rFonts w:hint="eastAsia" w:cs="Times New Roman"/>
          <w:kern w:val="2"/>
          <w:sz w:val="28"/>
          <w:szCs w:val="24"/>
          <w:highlight w:val="none"/>
          <w:lang w:val="en-US" w:eastAsia="zh-CN" w:bidi="ar-SA"/>
        </w:rPr>
        <w:t>；</w:t>
      </w:r>
      <w:r>
        <w:rPr>
          <w:rFonts w:hint="default" w:cs="Times New Roman"/>
          <w:kern w:val="2"/>
          <w:sz w:val="28"/>
          <w:szCs w:val="24"/>
          <w:highlight w:val="none"/>
          <w:lang w:val="en-US" w:eastAsia="zh-CN" w:bidi="ar-SA"/>
        </w:rPr>
        <w:t>钢板对应重钢</w:t>
      </w:r>
      <w:r>
        <w:rPr>
          <w:rFonts w:hint="eastAsia" w:cs="Times New Roman"/>
          <w:kern w:val="2"/>
          <w:sz w:val="28"/>
          <w:szCs w:val="24"/>
          <w:highlight w:val="none"/>
          <w:lang w:val="en-US" w:eastAsia="zh-CN" w:bidi="ar-SA"/>
        </w:rPr>
        <w:t>同规格</w:t>
      </w:r>
      <w:r>
        <w:rPr>
          <w:rFonts w:hint="default" w:cs="Times New Roman"/>
          <w:kern w:val="2"/>
          <w:sz w:val="28"/>
          <w:szCs w:val="24"/>
          <w:highlight w:val="none"/>
          <w:lang w:val="en-US" w:eastAsia="zh-CN" w:bidi="ar-SA"/>
        </w:rPr>
        <w:t>网价，无缝钢管102*6</w:t>
      </w:r>
      <w:r>
        <w:rPr>
          <w:rFonts w:hint="eastAsia" w:cs="Times New Roman"/>
          <w:kern w:val="2"/>
          <w:sz w:val="28"/>
          <w:szCs w:val="24"/>
          <w:highlight w:val="none"/>
          <w:lang w:val="en-US" w:eastAsia="zh-CN" w:bidi="ar-SA"/>
        </w:rPr>
        <w:t>对应108*6网价，</w:t>
      </w:r>
      <w:r>
        <w:rPr>
          <w:rFonts w:hint="default" w:cs="Times New Roman"/>
          <w:kern w:val="2"/>
          <w:sz w:val="28"/>
          <w:szCs w:val="24"/>
          <w:highlight w:val="none"/>
          <w:lang w:val="en-US" w:eastAsia="zh-CN" w:bidi="ar-SA"/>
        </w:rPr>
        <w:t>108*6对应中宝管业网价，140*8对应临沂金正阳133*5网价，角钢50*32*3对应安钢50*50*5的网价，100*100*8对应安钢100*100*10的网价，75*75*7对应安钢75*75*8的网价。如一天有多次网价，取当天最低价，如有备注，看备注。</w:t>
      </w:r>
      <w:r>
        <w:rPr>
          <w:rFonts w:hint="eastAsia" w:cs="Times New Roman"/>
          <w:kern w:val="2"/>
          <w:sz w:val="28"/>
          <w:szCs w:val="24"/>
          <w:highlight w:val="none"/>
          <w:lang w:val="en-US" w:eastAsia="zh-CN" w:bidi="ar-SA"/>
        </w:rPr>
        <w:t>节假日无网价的，参照前一工作日网价。</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因项目业主要求、市场行情、政策等客观因素发生变化需要调整基准价定价方式的（如参照网价执行条件），采购人将根据基准价调整政策与申请人另行协商。</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4.固定费用：包含但不限于检测费、装卸费（不含工地卸车费）、运杂费、税金、利润、资金成本、文本工具材料费等一切费用和所有合同明示或暗示的所有责任、义务和风险的综合单价。固定费用是综合到场结算单价中除基准价外的其它费用，除非上述定价方式改变双方另行协商采购单价，否则固定费用在整个合同执行过程中不作调整，仅随国家增值税税率调整而作相应调整。</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5.数量验收方式：螺纹钢以理计方式计量，盘圆、盘螺、工字钢、角钢、钢板、无缝钢管、以过磅计量为准。</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6.报价有效期：90天。</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7</w:t>
      </w:r>
      <w:bookmarkStart w:id="45" w:name="_GoBack"/>
      <w:bookmarkEnd w:id="45"/>
      <w:r>
        <w:rPr>
          <w:rFonts w:hint="eastAsia" w:cs="Times New Roman"/>
          <w:kern w:val="2"/>
          <w:sz w:val="28"/>
          <w:szCs w:val="24"/>
          <w:highlight w:val="none"/>
          <w:lang w:val="en-US" w:eastAsia="zh-CN" w:bidi="ar-SA"/>
        </w:rPr>
        <w:t>.本项目不统一组织现场考察，申请人须根据采购人提供的位置信息自行安排考察，并有责任收集一切有关编制报价和签订合同所必须的资料，现场考察费用由申请人自行承担。申请人被视为充分了解本项目所在地与履行合同有关的各种情况，包括工程施工环境、气候条件、劳动力及公用设施、交货地点、运输线路及路况（含工地施工便道）等。</w:t>
      </w:r>
    </w:p>
    <w:p>
      <w:pPr>
        <w:pStyle w:val="19"/>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1"/>
        <w:rPr>
          <w:rFonts w:hint="default" w:ascii="黑体" w:hAnsi="黑体" w:eastAsia="黑体" w:cs="黑体"/>
          <w:kern w:val="2"/>
          <w:sz w:val="28"/>
          <w:szCs w:val="24"/>
          <w:highlight w:val="none"/>
          <w:lang w:val="en-US" w:eastAsia="zh-CN" w:bidi="ar-SA"/>
        </w:rPr>
      </w:pPr>
      <w:bookmarkStart w:id="6" w:name="_Toc24059"/>
      <w:bookmarkStart w:id="7" w:name="_Toc16458"/>
      <w:r>
        <w:rPr>
          <w:rFonts w:hint="eastAsia" w:ascii="黑体" w:hAnsi="黑体" w:eastAsia="黑体" w:cs="黑体"/>
          <w:kern w:val="2"/>
          <w:sz w:val="28"/>
          <w:szCs w:val="24"/>
          <w:highlight w:val="none"/>
          <w:lang w:val="en-US" w:eastAsia="zh-CN" w:bidi="ar-SA"/>
        </w:rPr>
        <w:t>申请人</w:t>
      </w:r>
      <w:r>
        <w:rPr>
          <w:rFonts w:hint="default" w:ascii="黑体" w:hAnsi="黑体" w:eastAsia="黑体" w:cs="黑体"/>
          <w:kern w:val="2"/>
          <w:sz w:val="28"/>
          <w:szCs w:val="24"/>
          <w:highlight w:val="none"/>
          <w:lang w:val="en-US" w:eastAsia="zh-CN" w:bidi="ar-SA"/>
        </w:rPr>
        <w:t>资格条件要求</w:t>
      </w:r>
      <w:bookmarkEnd w:id="6"/>
      <w:bookmarkEnd w:id="7"/>
    </w:p>
    <w:p>
      <w:pPr>
        <w:pStyle w:val="19"/>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ascii="Times New Roman" w:hAnsi="Times New Roman" w:cs="Times New Roman"/>
          <w:kern w:val="2"/>
          <w:sz w:val="28"/>
          <w:szCs w:val="24"/>
          <w:highlight w:val="none"/>
          <w:lang w:val="en-US" w:eastAsia="zh-CN" w:bidi="ar-SA"/>
        </w:rPr>
      </w:pPr>
      <w:r>
        <w:rPr>
          <w:rFonts w:hint="eastAsia" w:cs="Times New Roman"/>
          <w:kern w:val="2"/>
          <w:sz w:val="28"/>
          <w:szCs w:val="24"/>
          <w:highlight w:val="none"/>
          <w:lang w:val="en-US" w:eastAsia="zh-CN" w:bidi="ar-SA"/>
        </w:rPr>
        <w:t>申请人须具备</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1.资质要求：申请人为中华人民共和国境内依法注册、具有法人资格，具有合法、有效的营业执照（三证合一）证件。</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2.材料要求：满足国家最新质量标准要求，提供省级以上质检书。如有厂家授权或颁发的荣誉证书，可选择提供。</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3.业绩要求：提供合同时间在近3年内的类似业绩不少于2份。</w:t>
      </w:r>
    </w:p>
    <w:p>
      <w:pPr>
        <w:pStyle w:val="1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4.信誉要求：</w:t>
      </w:r>
      <w:r>
        <w:rPr>
          <w:rFonts w:hint="default" w:cs="Times New Roman"/>
          <w:kern w:val="2"/>
          <w:sz w:val="28"/>
          <w:szCs w:val="24"/>
          <w:highlight w:val="none"/>
          <w:lang w:val="en-US" w:eastAsia="zh-CN" w:bidi="ar-SA"/>
        </w:rPr>
        <w:t>申请人及其法定代表人近三年无行贿犯罪记录，以中国裁判文书网(www.court.gov.cn/wenshu.huml)查询结果为准；未被列入“国家企业信用信息公示系统”中严重违法失信企业名单，未被列入“信用中国”网站中失信被执行人名单（以“国家企业信用信息公示系统”http://www.gsxt.gov.cn/index.html和“信用中国”www.creditchina.gov.cn网站查询结果为准</w:t>
      </w:r>
      <w:r>
        <w:rPr>
          <w:rFonts w:hint="eastAsia" w:cs="Times New Roman"/>
          <w:kern w:val="2"/>
          <w:sz w:val="28"/>
          <w:szCs w:val="24"/>
          <w:highlight w:val="none"/>
          <w:lang w:val="en-US" w:eastAsia="zh-CN" w:bidi="ar-SA"/>
        </w:rPr>
        <w:t>）</w:t>
      </w:r>
      <w:r>
        <w:rPr>
          <w:rFonts w:hint="default" w:cs="Times New Roman"/>
          <w:kern w:val="2"/>
          <w:sz w:val="28"/>
          <w:szCs w:val="24"/>
          <w:highlight w:val="none"/>
          <w:lang w:val="en-US" w:eastAsia="zh-CN" w:bidi="ar-SA"/>
        </w:rPr>
        <w:t>，须提供网页查询截图、信用截图或信用报告，且查询时间为本项目</w:t>
      </w:r>
      <w:r>
        <w:rPr>
          <w:rFonts w:hint="eastAsia" w:cs="Times New Roman"/>
          <w:kern w:val="2"/>
          <w:sz w:val="28"/>
          <w:szCs w:val="24"/>
          <w:highlight w:val="none"/>
          <w:lang w:val="en-US" w:eastAsia="zh-CN" w:bidi="ar-SA"/>
        </w:rPr>
        <w:t>采购</w:t>
      </w:r>
      <w:r>
        <w:rPr>
          <w:rFonts w:hint="default" w:cs="Times New Roman"/>
          <w:kern w:val="2"/>
          <w:sz w:val="28"/>
          <w:szCs w:val="24"/>
          <w:highlight w:val="none"/>
          <w:lang w:val="en-US" w:eastAsia="zh-CN" w:bidi="ar-SA"/>
        </w:rPr>
        <w:t>公告发布之日起至</w:t>
      </w:r>
      <w:r>
        <w:rPr>
          <w:rFonts w:hint="eastAsia" w:cs="Times New Roman"/>
          <w:kern w:val="2"/>
          <w:sz w:val="28"/>
          <w:szCs w:val="24"/>
          <w:highlight w:val="none"/>
          <w:lang w:val="en-US" w:eastAsia="zh-CN" w:bidi="ar-SA"/>
        </w:rPr>
        <w:t>报价</w:t>
      </w:r>
      <w:r>
        <w:rPr>
          <w:rFonts w:hint="default" w:cs="Times New Roman"/>
          <w:kern w:val="2"/>
          <w:sz w:val="28"/>
          <w:szCs w:val="24"/>
          <w:highlight w:val="none"/>
          <w:lang w:val="en-US" w:eastAsia="zh-CN" w:bidi="ar-SA"/>
        </w:rPr>
        <w:t>截止时间前，如相关失信记录已失效，申请人须提供相关证明资料；如无，被列入上述名单的申请人报价将被否决。</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（二）本项目不接受联合体。</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（三）单位负责人为同一人或者存在控股、管理关系的不同单位，不得进行同一包件报价，否则，相关报价均被否决。</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（四）近两年与采购人就上述包件签订临时供货合同的申请人免于资格审查，但仍须递交申请文件备案。</w:t>
      </w:r>
    </w:p>
    <w:p>
      <w:pPr>
        <w:pStyle w:val="19"/>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1"/>
        <w:rPr>
          <w:rFonts w:hint="default" w:ascii="黑体" w:hAnsi="黑体" w:eastAsia="黑体" w:cs="黑体"/>
          <w:kern w:val="2"/>
          <w:sz w:val="28"/>
          <w:szCs w:val="24"/>
          <w:highlight w:val="none"/>
          <w:lang w:val="en-US" w:eastAsia="zh-CN" w:bidi="ar-SA"/>
        </w:rPr>
      </w:pPr>
      <w:bookmarkStart w:id="8" w:name="_Toc28853"/>
      <w:r>
        <w:rPr>
          <w:rFonts w:hint="eastAsia" w:ascii="黑体" w:hAnsi="黑体" w:eastAsia="黑体" w:cs="黑体"/>
          <w:kern w:val="2"/>
          <w:sz w:val="28"/>
          <w:szCs w:val="24"/>
          <w:highlight w:val="none"/>
          <w:lang w:val="en-US" w:eastAsia="zh-CN" w:bidi="ar-SA"/>
        </w:rPr>
        <w:t>报名方式</w:t>
      </w:r>
      <w:bookmarkEnd w:id="8"/>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（一）报名时间</w:t>
      </w:r>
      <w:r>
        <w:rPr>
          <w:rFonts w:hint="default" w:cs="Times New Roman"/>
          <w:kern w:val="2"/>
          <w:sz w:val="28"/>
          <w:szCs w:val="24"/>
          <w:highlight w:val="none"/>
          <w:lang w:val="en-US" w:eastAsia="zh-CN" w:bidi="ar-SA"/>
        </w:rPr>
        <w:t>：202</w:t>
      </w:r>
      <w:r>
        <w:rPr>
          <w:rFonts w:hint="eastAsia" w:cs="Times New Roman"/>
          <w:kern w:val="2"/>
          <w:sz w:val="28"/>
          <w:szCs w:val="24"/>
          <w:highlight w:val="none"/>
          <w:lang w:val="en-US" w:eastAsia="zh-CN" w:bidi="ar-SA"/>
        </w:rPr>
        <w:t>4</w:t>
      </w:r>
      <w:r>
        <w:rPr>
          <w:rFonts w:hint="default" w:cs="Times New Roman"/>
          <w:kern w:val="2"/>
          <w:sz w:val="28"/>
          <w:szCs w:val="24"/>
          <w:highlight w:val="none"/>
          <w:lang w:val="en-US" w:eastAsia="zh-CN" w:bidi="ar-SA"/>
        </w:rPr>
        <w:t>年</w:t>
      </w:r>
      <w:r>
        <w:rPr>
          <w:rFonts w:hint="eastAsia" w:cs="Times New Roman"/>
          <w:kern w:val="2"/>
          <w:sz w:val="28"/>
          <w:szCs w:val="24"/>
          <w:highlight w:val="none"/>
          <w:lang w:val="en-US" w:eastAsia="zh-CN" w:bidi="ar-SA"/>
        </w:rPr>
        <w:t>2</w:t>
      </w:r>
      <w:r>
        <w:rPr>
          <w:rFonts w:hint="default" w:cs="Times New Roman"/>
          <w:kern w:val="2"/>
          <w:sz w:val="28"/>
          <w:szCs w:val="24"/>
          <w:highlight w:val="none"/>
          <w:lang w:val="en-US" w:eastAsia="zh-CN" w:bidi="ar-SA"/>
        </w:rPr>
        <w:t>月</w:t>
      </w:r>
      <w:r>
        <w:rPr>
          <w:rFonts w:hint="eastAsia" w:cs="Times New Roman"/>
          <w:kern w:val="2"/>
          <w:sz w:val="28"/>
          <w:szCs w:val="24"/>
          <w:highlight w:val="none"/>
          <w:lang w:val="en-US" w:eastAsia="zh-CN" w:bidi="ar-SA"/>
        </w:rPr>
        <w:t>26</w:t>
      </w:r>
      <w:r>
        <w:rPr>
          <w:rFonts w:hint="default" w:cs="Times New Roman"/>
          <w:kern w:val="2"/>
          <w:sz w:val="28"/>
          <w:szCs w:val="24"/>
          <w:highlight w:val="none"/>
          <w:lang w:val="en-US" w:eastAsia="zh-CN" w:bidi="ar-SA"/>
        </w:rPr>
        <w:t>日</w:t>
      </w:r>
      <w:r>
        <w:rPr>
          <w:rFonts w:hint="eastAsia" w:cs="Times New Roman"/>
          <w:kern w:val="2"/>
          <w:sz w:val="28"/>
          <w:szCs w:val="24"/>
          <w:highlight w:val="none"/>
          <w:lang w:val="en-US" w:eastAsia="zh-CN" w:bidi="ar-SA"/>
        </w:rPr>
        <w:t>14时</w:t>
      </w:r>
      <w:r>
        <w:rPr>
          <w:rFonts w:hint="default" w:cs="Times New Roman"/>
          <w:kern w:val="2"/>
          <w:sz w:val="28"/>
          <w:szCs w:val="24"/>
          <w:highlight w:val="none"/>
          <w:lang w:val="en-US" w:eastAsia="zh-CN" w:bidi="ar-SA"/>
        </w:rPr>
        <w:t>至202</w:t>
      </w:r>
      <w:r>
        <w:rPr>
          <w:rFonts w:hint="eastAsia" w:cs="Times New Roman"/>
          <w:kern w:val="2"/>
          <w:sz w:val="28"/>
          <w:szCs w:val="24"/>
          <w:highlight w:val="none"/>
          <w:lang w:val="en-US" w:eastAsia="zh-CN" w:bidi="ar-SA"/>
        </w:rPr>
        <w:t>4</w:t>
      </w:r>
      <w:r>
        <w:rPr>
          <w:rFonts w:hint="default" w:cs="Times New Roman"/>
          <w:kern w:val="2"/>
          <w:sz w:val="28"/>
          <w:szCs w:val="24"/>
          <w:highlight w:val="none"/>
          <w:lang w:val="en-US" w:eastAsia="zh-CN" w:bidi="ar-SA"/>
        </w:rPr>
        <w:t>年</w:t>
      </w:r>
      <w:r>
        <w:rPr>
          <w:rFonts w:hint="eastAsia" w:cs="Times New Roman"/>
          <w:kern w:val="2"/>
          <w:sz w:val="28"/>
          <w:szCs w:val="24"/>
          <w:highlight w:val="none"/>
          <w:lang w:val="en-US" w:eastAsia="zh-CN" w:bidi="ar-SA"/>
        </w:rPr>
        <w:t>2</w:t>
      </w:r>
      <w:r>
        <w:rPr>
          <w:rFonts w:hint="default" w:cs="Times New Roman"/>
          <w:kern w:val="2"/>
          <w:sz w:val="28"/>
          <w:szCs w:val="24"/>
          <w:highlight w:val="none"/>
          <w:lang w:val="en-US" w:eastAsia="zh-CN" w:bidi="ar-SA"/>
        </w:rPr>
        <w:t>月</w:t>
      </w:r>
      <w:r>
        <w:rPr>
          <w:rFonts w:hint="eastAsia" w:cs="Times New Roman"/>
          <w:kern w:val="2"/>
          <w:sz w:val="28"/>
          <w:szCs w:val="24"/>
          <w:highlight w:val="none"/>
          <w:lang w:val="en-US" w:eastAsia="zh-CN" w:bidi="ar-SA"/>
        </w:rPr>
        <w:t>29</w:t>
      </w:r>
      <w:r>
        <w:rPr>
          <w:rFonts w:hint="default" w:cs="Times New Roman"/>
          <w:kern w:val="2"/>
          <w:sz w:val="28"/>
          <w:szCs w:val="24"/>
          <w:highlight w:val="none"/>
          <w:lang w:val="en-US" w:eastAsia="zh-CN" w:bidi="ar-SA"/>
        </w:rPr>
        <w:t>日</w:t>
      </w:r>
      <w:r>
        <w:rPr>
          <w:rFonts w:hint="eastAsia" w:cs="Times New Roman"/>
          <w:kern w:val="2"/>
          <w:sz w:val="28"/>
          <w:szCs w:val="24"/>
          <w:highlight w:val="none"/>
          <w:lang w:val="en-US" w:eastAsia="zh-CN" w:bidi="ar-SA"/>
        </w:rPr>
        <w:t>14</w:t>
      </w:r>
      <w:r>
        <w:rPr>
          <w:rFonts w:hint="default" w:cs="Times New Roman"/>
          <w:kern w:val="2"/>
          <w:sz w:val="28"/>
          <w:szCs w:val="24"/>
          <w:highlight w:val="none"/>
          <w:lang w:val="en-US" w:eastAsia="zh-CN" w:bidi="ar-SA"/>
        </w:rPr>
        <w:t>时</w:t>
      </w:r>
      <w:r>
        <w:rPr>
          <w:rFonts w:hint="eastAsia" w:cs="Times New Roman"/>
          <w:kern w:val="2"/>
          <w:sz w:val="28"/>
          <w:szCs w:val="24"/>
          <w:highlight w:val="none"/>
          <w:lang w:val="en-US" w:eastAsia="zh-CN" w:bidi="ar-SA"/>
        </w:rPr>
        <w:t>（报名截止时间）。</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（二）递交申请：</w:t>
      </w:r>
      <w:r>
        <w:rPr>
          <w:rFonts w:hint="eastAsia" w:cs="Times New Roman"/>
          <w:kern w:val="2"/>
          <w:sz w:val="28"/>
          <w:szCs w:val="24"/>
          <w:highlight w:val="none"/>
          <w:lang w:val="en-US" w:eastAsia="zh-CN" w:bidi="ar-SA"/>
        </w:rPr>
        <w:fldChar w:fldCharType="begin"/>
      </w:r>
      <w:r>
        <w:rPr>
          <w:rFonts w:hint="eastAsia" w:cs="Times New Roman"/>
          <w:kern w:val="2"/>
          <w:sz w:val="28"/>
          <w:szCs w:val="24"/>
          <w:highlight w:val="none"/>
          <w:lang w:val="en-US" w:eastAsia="zh-CN" w:bidi="ar-SA"/>
        </w:rPr>
        <w:instrText xml:space="preserve"> HYPERLINK "mailto:申请人在报名截止时间以前按照附件一格式编制申请文件并逐页盖章，扫描成PDF发送至采购人指定邮箱sdwl2023@163.com。" </w:instrText>
      </w:r>
      <w:r>
        <w:rPr>
          <w:rFonts w:hint="eastAsia" w:cs="Times New Roman"/>
          <w:kern w:val="2"/>
          <w:sz w:val="28"/>
          <w:szCs w:val="24"/>
          <w:highlight w:val="none"/>
          <w:lang w:val="en-US" w:eastAsia="zh-CN" w:bidi="ar-SA"/>
        </w:rPr>
        <w:fldChar w:fldCharType="separate"/>
      </w:r>
      <w:r>
        <w:rPr>
          <w:rFonts w:hint="eastAsia" w:cs="Times New Roman"/>
          <w:kern w:val="2"/>
          <w:sz w:val="28"/>
          <w:szCs w:val="24"/>
          <w:highlight w:val="none"/>
          <w:lang w:val="en-US" w:eastAsia="zh-CN" w:bidi="ar-SA"/>
        </w:rPr>
        <w:t>申请人在报名截止时间以前按照</w:t>
      </w:r>
      <w:r>
        <w:rPr>
          <w:rFonts w:hint="eastAsia" w:cs="Times New Roman"/>
          <w:b/>
          <w:bCs/>
          <w:kern w:val="2"/>
          <w:sz w:val="28"/>
          <w:szCs w:val="24"/>
          <w:highlight w:val="none"/>
          <w:lang w:val="en-US" w:eastAsia="zh-CN" w:bidi="ar-SA"/>
        </w:rPr>
        <w:t>附件一</w:t>
      </w:r>
      <w:r>
        <w:rPr>
          <w:rFonts w:hint="eastAsia" w:cs="Times New Roman"/>
          <w:kern w:val="2"/>
          <w:sz w:val="28"/>
          <w:szCs w:val="24"/>
          <w:highlight w:val="none"/>
          <w:lang w:val="en-US" w:eastAsia="zh-CN" w:bidi="ar-SA"/>
        </w:rPr>
        <w:t>格式编制申请文件并逐页盖章，扫描成PDF发送至采购人指定邮箱</w:t>
      </w:r>
      <w:r>
        <w:rPr>
          <w:rFonts w:hint="default" w:cs="Times New Roman"/>
          <w:kern w:val="2"/>
          <w:sz w:val="28"/>
          <w:szCs w:val="24"/>
          <w:highlight w:val="none"/>
          <w:lang w:val="en-US" w:eastAsia="zh-CN" w:bidi="ar-SA"/>
        </w:rPr>
        <w:t>sdwl2023@163.com</w:t>
      </w:r>
      <w:r>
        <w:rPr>
          <w:rFonts w:hint="eastAsia" w:cs="Times New Roman"/>
          <w:kern w:val="2"/>
          <w:sz w:val="28"/>
          <w:szCs w:val="24"/>
          <w:highlight w:val="none"/>
          <w:lang w:val="en-US" w:eastAsia="zh-CN" w:bidi="ar-SA"/>
        </w:rPr>
        <w:t>。</w:t>
      </w:r>
      <w:r>
        <w:rPr>
          <w:rFonts w:hint="eastAsia" w:cs="Times New Roman"/>
          <w:kern w:val="2"/>
          <w:sz w:val="28"/>
          <w:szCs w:val="24"/>
          <w:highlight w:val="none"/>
          <w:lang w:val="en-US" w:eastAsia="zh-CN" w:bidi="ar-SA"/>
        </w:rPr>
        <w:fldChar w:fldCharType="end"/>
      </w:r>
    </w:p>
    <w:p>
      <w:pPr>
        <w:pStyle w:val="19"/>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1"/>
        <w:rPr>
          <w:rFonts w:hint="default" w:ascii="黑体" w:hAnsi="黑体" w:eastAsia="黑体" w:cs="黑体"/>
          <w:kern w:val="2"/>
          <w:sz w:val="28"/>
          <w:szCs w:val="24"/>
          <w:highlight w:val="none"/>
          <w:lang w:val="en-US" w:eastAsia="zh-CN" w:bidi="ar-SA"/>
        </w:rPr>
      </w:pPr>
      <w:bookmarkStart w:id="9" w:name="_Toc9313"/>
      <w:bookmarkStart w:id="10" w:name="_Toc26542"/>
      <w:r>
        <w:rPr>
          <w:rFonts w:hint="default" w:ascii="黑体" w:hAnsi="黑体" w:eastAsia="黑体" w:cs="黑体"/>
          <w:kern w:val="2"/>
          <w:sz w:val="28"/>
          <w:szCs w:val="24"/>
          <w:highlight w:val="none"/>
          <w:lang w:val="en-US" w:eastAsia="zh-CN" w:bidi="ar-SA"/>
        </w:rPr>
        <w:t>报价文件的递交</w:t>
      </w:r>
      <w:bookmarkEnd w:id="9"/>
      <w:bookmarkEnd w:id="10"/>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（一）</w:t>
      </w:r>
      <w:r>
        <w:rPr>
          <w:rFonts w:hint="default" w:cs="Times New Roman"/>
          <w:kern w:val="2"/>
          <w:sz w:val="28"/>
          <w:szCs w:val="24"/>
          <w:highlight w:val="none"/>
          <w:lang w:val="en-US" w:eastAsia="zh-CN" w:bidi="ar-SA"/>
        </w:rPr>
        <w:t>报价文件递交时间</w:t>
      </w:r>
      <w:r>
        <w:rPr>
          <w:rFonts w:hint="eastAsia" w:cs="Times New Roman"/>
          <w:kern w:val="2"/>
          <w:sz w:val="28"/>
          <w:szCs w:val="24"/>
          <w:highlight w:val="none"/>
          <w:lang w:val="en-US" w:eastAsia="zh-CN" w:bidi="ar-SA"/>
        </w:rPr>
        <w:t>：</w:t>
      </w:r>
      <w:r>
        <w:rPr>
          <w:rFonts w:hint="default" w:cs="Times New Roman"/>
          <w:b/>
          <w:bCs/>
          <w:kern w:val="2"/>
          <w:sz w:val="28"/>
          <w:szCs w:val="24"/>
          <w:highlight w:val="none"/>
          <w:lang w:val="en-US" w:eastAsia="zh-CN" w:bidi="ar-SA"/>
        </w:rPr>
        <w:t>202</w:t>
      </w:r>
      <w:r>
        <w:rPr>
          <w:rFonts w:hint="eastAsia" w:cs="Times New Roman"/>
          <w:b/>
          <w:bCs/>
          <w:kern w:val="2"/>
          <w:sz w:val="28"/>
          <w:szCs w:val="24"/>
          <w:highlight w:val="none"/>
          <w:lang w:val="en-US" w:eastAsia="zh-CN" w:bidi="ar-SA"/>
        </w:rPr>
        <w:t>4</w:t>
      </w:r>
      <w:r>
        <w:rPr>
          <w:rFonts w:hint="default" w:cs="Times New Roman"/>
          <w:b/>
          <w:bCs/>
          <w:kern w:val="2"/>
          <w:sz w:val="28"/>
          <w:szCs w:val="24"/>
          <w:highlight w:val="none"/>
          <w:lang w:val="en-US" w:eastAsia="zh-CN" w:bidi="ar-SA"/>
        </w:rPr>
        <w:t>年</w:t>
      </w:r>
      <w:r>
        <w:rPr>
          <w:rFonts w:hint="eastAsia" w:cs="Times New Roman"/>
          <w:b/>
          <w:bCs/>
          <w:kern w:val="2"/>
          <w:sz w:val="28"/>
          <w:szCs w:val="24"/>
          <w:highlight w:val="none"/>
          <w:lang w:val="en-US" w:eastAsia="zh-CN" w:bidi="ar-SA"/>
        </w:rPr>
        <w:t>2</w:t>
      </w:r>
      <w:r>
        <w:rPr>
          <w:rFonts w:hint="default" w:cs="Times New Roman"/>
          <w:b/>
          <w:bCs/>
          <w:kern w:val="2"/>
          <w:sz w:val="28"/>
          <w:szCs w:val="24"/>
          <w:highlight w:val="none"/>
          <w:lang w:val="en-US" w:eastAsia="zh-CN" w:bidi="ar-SA"/>
        </w:rPr>
        <w:t>月</w:t>
      </w:r>
      <w:r>
        <w:rPr>
          <w:rFonts w:hint="eastAsia" w:cs="Times New Roman"/>
          <w:b/>
          <w:bCs/>
          <w:kern w:val="2"/>
          <w:sz w:val="28"/>
          <w:szCs w:val="24"/>
          <w:highlight w:val="none"/>
          <w:lang w:val="en-US" w:eastAsia="zh-CN" w:bidi="ar-SA"/>
        </w:rPr>
        <w:t>29</w:t>
      </w:r>
      <w:r>
        <w:rPr>
          <w:rFonts w:hint="default" w:cs="Times New Roman"/>
          <w:b/>
          <w:bCs/>
          <w:kern w:val="2"/>
          <w:sz w:val="28"/>
          <w:szCs w:val="24"/>
          <w:highlight w:val="none"/>
          <w:lang w:val="en-US" w:eastAsia="zh-CN" w:bidi="ar-SA"/>
        </w:rPr>
        <w:t>日</w:t>
      </w:r>
      <w:r>
        <w:rPr>
          <w:rFonts w:hint="eastAsia" w:cs="Times New Roman"/>
          <w:b/>
          <w:bCs/>
          <w:kern w:val="2"/>
          <w:sz w:val="28"/>
          <w:szCs w:val="24"/>
          <w:highlight w:val="none"/>
          <w:lang w:val="en-US" w:eastAsia="zh-CN" w:bidi="ar-SA"/>
        </w:rPr>
        <w:t>15时</w:t>
      </w:r>
      <w:r>
        <w:rPr>
          <w:rFonts w:hint="default" w:cs="Times New Roman"/>
          <w:kern w:val="2"/>
          <w:sz w:val="28"/>
          <w:szCs w:val="24"/>
          <w:highlight w:val="none"/>
          <w:lang w:val="en-US" w:eastAsia="zh-CN" w:bidi="ar-SA"/>
        </w:rPr>
        <w:t>（</w:t>
      </w:r>
      <w:r>
        <w:rPr>
          <w:rFonts w:hint="eastAsia" w:cs="Times New Roman"/>
          <w:kern w:val="2"/>
          <w:sz w:val="28"/>
          <w:szCs w:val="24"/>
          <w:highlight w:val="none"/>
          <w:lang w:val="en-US" w:eastAsia="zh-CN" w:bidi="ar-SA"/>
        </w:rPr>
        <w:t>报价</w:t>
      </w:r>
      <w:r>
        <w:rPr>
          <w:rFonts w:hint="default" w:cs="Times New Roman"/>
          <w:kern w:val="2"/>
          <w:sz w:val="28"/>
          <w:szCs w:val="24"/>
          <w:highlight w:val="none"/>
          <w:lang w:val="en-US" w:eastAsia="zh-CN" w:bidi="ar-SA"/>
        </w:rPr>
        <w:t>截止时间）。</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（二）报价文件递交方式：</w:t>
      </w:r>
      <w:r>
        <w:rPr>
          <w:rFonts w:hint="eastAsia" w:cs="Times New Roman"/>
          <w:kern w:val="2"/>
          <w:sz w:val="28"/>
          <w:szCs w:val="24"/>
          <w:highlight w:val="none"/>
          <w:lang w:val="en-US" w:eastAsia="zh-CN" w:bidi="ar-SA"/>
        </w:rPr>
        <w:fldChar w:fldCharType="begin"/>
      </w:r>
      <w:r>
        <w:rPr>
          <w:rFonts w:hint="eastAsia" w:cs="Times New Roman"/>
          <w:kern w:val="2"/>
          <w:sz w:val="28"/>
          <w:szCs w:val="24"/>
          <w:highlight w:val="none"/>
          <w:lang w:val="en-US" w:eastAsia="zh-CN" w:bidi="ar-SA"/>
        </w:rPr>
        <w:instrText xml:space="preserve"> HYPERLINK "mailto:1.线上递交。申请人须通过邮件定时发送至采购人邮箱（sdwl2023@163.com）。" </w:instrText>
      </w:r>
      <w:r>
        <w:rPr>
          <w:rFonts w:hint="eastAsia" w:cs="Times New Roman"/>
          <w:kern w:val="2"/>
          <w:sz w:val="28"/>
          <w:szCs w:val="24"/>
          <w:highlight w:val="none"/>
          <w:lang w:val="en-US" w:eastAsia="zh-CN" w:bidi="ar-SA"/>
        </w:rPr>
        <w:fldChar w:fldCharType="separate"/>
      </w:r>
      <w:r>
        <w:rPr>
          <w:rFonts w:hint="eastAsia" w:cs="Times New Roman"/>
          <w:kern w:val="2"/>
          <w:sz w:val="28"/>
          <w:szCs w:val="24"/>
          <w:highlight w:val="none"/>
          <w:lang w:val="en-US" w:eastAsia="zh-CN" w:bidi="ar-SA"/>
        </w:rPr>
        <w:t>申请人须通过邮件定时（</w:t>
      </w:r>
      <w:r>
        <w:rPr>
          <w:rFonts w:hint="eastAsia" w:cs="Times New Roman"/>
          <w:b/>
          <w:bCs/>
          <w:kern w:val="2"/>
          <w:sz w:val="28"/>
          <w:szCs w:val="24"/>
          <w:highlight w:val="none"/>
          <w:lang w:val="en-US" w:eastAsia="zh-CN" w:bidi="ar-SA"/>
        </w:rPr>
        <w:t>邮件发送时间设置为报价截止时间</w:t>
      </w:r>
      <w:r>
        <w:rPr>
          <w:rFonts w:hint="eastAsia" w:cs="Times New Roman"/>
          <w:kern w:val="2"/>
          <w:sz w:val="28"/>
          <w:szCs w:val="24"/>
          <w:highlight w:val="none"/>
          <w:lang w:val="en-US" w:eastAsia="zh-CN" w:bidi="ar-SA"/>
        </w:rPr>
        <w:t>）发送至采购人邮箱</w:t>
      </w:r>
      <w:r>
        <w:rPr>
          <w:rFonts w:hint="default" w:cs="Times New Roman"/>
          <w:kern w:val="2"/>
          <w:sz w:val="28"/>
          <w:szCs w:val="24"/>
          <w:highlight w:val="none"/>
          <w:lang w:val="en-US" w:eastAsia="zh-CN" w:bidi="ar-SA"/>
        </w:rPr>
        <w:t>sdwl2023@163.com</w:t>
      </w:r>
      <w:r>
        <w:rPr>
          <w:rFonts w:hint="eastAsia" w:cs="Times New Roman"/>
          <w:kern w:val="2"/>
          <w:sz w:val="28"/>
          <w:szCs w:val="24"/>
          <w:highlight w:val="none"/>
          <w:lang w:val="en-US" w:eastAsia="zh-CN" w:bidi="ar-SA"/>
        </w:rPr>
        <w:t>。</w:t>
      </w:r>
      <w:r>
        <w:rPr>
          <w:rFonts w:hint="eastAsia" w:cs="Times New Roman"/>
          <w:kern w:val="2"/>
          <w:sz w:val="28"/>
          <w:szCs w:val="24"/>
          <w:highlight w:val="none"/>
          <w:lang w:val="en-US" w:eastAsia="zh-CN" w:bidi="ar-SA"/>
        </w:rPr>
        <w:fldChar w:fldCharType="end"/>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（三）</w:t>
      </w:r>
      <w:r>
        <w:rPr>
          <w:rFonts w:hint="eastAsia" w:cs="Times New Roman"/>
          <w:b/>
          <w:bCs/>
          <w:kern w:val="2"/>
          <w:sz w:val="28"/>
          <w:szCs w:val="24"/>
          <w:highlight w:val="none"/>
          <w:lang w:val="en-US" w:eastAsia="zh-CN" w:bidi="ar-SA"/>
        </w:rPr>
        <w:t>报价文件邮件发送时间设置为报价截止时间，</w:t>
      </w:r>
      <w:r>
        <w:rPr>
          <w:rFonts w:hint="eastAsia" w:cs="Times New Roman"/>
          <w:b w:val="0"/>
          <w:bCs w:val="0"/>
          <w:kern w:val="2"/>
          <w:sz w:val="28"/>
          <w:szCs w:val="24"/>
          <w:highlight w:val="none"/>
          <w:lang w:val="en-US" w:eastAsia="zh-CN" w:bidi="ar-SA"/>
        </w:rPr>
        <w:t>避免</w:t>
      </w:r>
      <w:r>
        <w:rPr>
          <w:rFonts w:hint="eastAsia" w:cs="Times New Roman"/>
          <w:kern w:val="2"/>
          <w:sz w:val="28"/>
          <w:szCs w:val="24"/>
          <w:highlight w:val="none"/>
          <w:lang w:val="en-US" w:eastAsia="zh-CN" w:bidi="ar-SA"/>
        </w:rPr>
        <w:t>邮件发送时间早于或晚于报价截止时间。</w:t>
      </w:r>
    </w:p>
    <w:p>
      <w:pPr>
        <w:pStyle w:val="19"/>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1"/>
        <w:rPr>
          <w:rFonts w:hint="default" w:ascii="黑体" w:hAnsi="黑体" w:eastAsia="黑体" w:cs="黑体"/>
          <w:kern w:val="2"/>
          <w:sz w:val="28"/>
          <w:szCs w:val="24"/>
          <w:highlight w:val="none"/>
          <w:lang w:val="en-US" w:eastAsia="zh-CN" w:bidi="ar-SA"/>
        </w:rPr>
      </w:pPr>
      <w:bookmarkStart w:id="11" w:name="_Toc13311"/>
      <w:bookmarkStart w:id="12" w:name="_Toc2457"/>
      <w:r>
        <w:rPr>
          <w:rFonts w:hint="default" w:ascii="黑体" w:hAnsi="黑体" w:eastAsia="黑体" w:cs="黑体"/>
          <w:kern w:val="2"/>
          <w:sz w:val="28"/>
          <w:szCs w:val="24"/>
          <w:highlight w:val="none"/>
          <w:lang w:val="en-US" w:eastAsia="zh-CN" w:bidi="ar-SA"/>
        </w:rPr>
        <w:t>联系方式</w:t>
      </w:r>
      <w:bookmarkEnd w:id="11"/>
      <w:bookmarkEnd w:id="12"/>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采购</w:t>
      </w:r>
      <w:r>
        <w:rPr>
          <w:rFonts w:hint="default" w:cs="Times New Roman"/>
          <w:kern w:val="2"/>
          <w:sz w:val="28"/>
          <w:szCs w:val="24"/>
          <w:highlight w:val="none"/>
          <w:lang w:val="en-US" w:eastAsia="zh-CN" w:bidi="ar-SA"/>
        </w:rPr>
        <w:t>人：</w:t>
      </w:r>
      <w:r>
        <w:rPr>
          <w:rFonts w:hint="eastAsia" w:cs="Times New Roman"/>
          <w:kern w:val="2"/>
          <w:sz w:val="28"/>
          <w:szCs w:val="24"/>
          <w:highlight w:val="none"/>
          <w:lang w:val="en-US" w:eastAsia="zh-CN" w:bidi="ar-SA"/>
        </w:rPr>
        <w:t>四川蜀物兴川物流发展有限公司</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default" w:cs="Times New Roman"/>
          <w:kern w:val="2"/>
          <w:sz w:val="28"/>
          <w:szCs w:val="24"/>
          <w:highlight w:val="none"/>
          <w:lang w:val="en-US" w:eastAsia="zh-CN" w:bidi="ar-SA"/>
        </w:rPr>
      </w:pPr>
      <w:r>
        <w:rPr>
          <w:rFonts w:hint="default" w:cs="Times New Roman"/>
          <w:kern w:val="2"/>
          <w:sz w:val="28"/>
          <w:szCs w:val="24"/>
          <w:highlight w:val="none"/>
          <w:lang w:val="en-US" w:eastAsia="zh-CN" w:bidi="ar-SA"/>
        </w:rPr>
        <w:t>地  址：成都市青羊区光华北五路266号蜀道物流集团</w:t>
      </w:r>
      <w:r>
        <w:rPr>
          <w:rFonts w:hint="eastAsia" w:cs="Times New Roman"/>
          <w:kern w:val="2"/>
          <w:sz w:val="28"/>
          <w:szCs w:val="24"/>
          <w:highlight w:val="none"/>
          <w:lang w:val="en-US" w:eastAsia="zh-CN" w:bidi="ar-SA"/>
        </w:rPr>
        <w:t>10</w:t>
      </w:r>
      <w:r>
        <w:rPr>
          <w:rFonts w:hint="default" w:cs="Times New Roman"/>
          <w:kern w:val="2"/>
          <w:sz w:val="28"/>
          <w:szCs w:val="24"/>
          <w:highlight w:val="none"/>
          <w:lang w:val="en-US" w:eastAsia="zh-CN" w:bidi="ar-SA"/>
        </w:rPr>
        <w:t>楼</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eastAsia" w:eastAsia="仿宋_GB2312" w:cs="Times New Roman"/>
          <w:kern w:val="2"/>
          <w:sz w:val="28"/>
          <w:szCs w:val="24"/>
          <w:highlight w:val="none"/>
          <w:lang w:val="en-US" w:eastAsia="zh-CN" w:bidi="ar-SA"/>
        </w:rPr>
      </w:pPr>
      <w:r>
        <w:rPr>
          <w:rFonts w:hint="default" w:cs="Times New Roman"/>
          <w:kern w:val="2"/>
          <w:sz w:val="28"/>
          <w:szCs w:val="24"/>
          <w:highlight w:val="none"/>
          <w:lang w:val="en-US" w:eastAsia="zh-CN" w:bidi="ar-SA"/>
        </w:rPr>
        <w:t>联系人：</w:t>
      </w:r>
      <w:r>
        <w:rPr>
          <w:rFonts w:hint="eastAsia" w:cs="Times New Roman"/>
          <w:kern w:val="2"/>
          <w:sz w:val="28"/>
          <w:szCs w:val="24"/>
          <w:highlight w:val="none"/>
          <w:lang w:val="en-US" w:eastAsia="zh-CN" w:bidi="ar-SA"/>
        </w:rPr>
        <w:t>尹女士</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邮  箱</w:t>
      </w:r>
      <w:r>
        <w:rPr>
          <w:rFonts w:hint="default" w:cs="Times New Roman"/>
          <w:kern w:val="2"/>
          <w:sz w:val="28"/>
          <w:szCs w:val="24"/>
          <w:highlight w:val="none"/>
          <w:lang w:val="en-US" w:eastAsia="zh-CN" w:bidi="ar-SA"/>
        </w:rPr>
        <w:t>：sdwl2023@163.com</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kern w:val="2"/>
          <w:sz w:val="28"/>
          <w:szCs w:val="24"/>
          <w:highlight w:val="none"/>
          <w:lang w:val="en-US" w:eastAsia="zh-CN" w:bidi="ar-SA"/>
        </w:rPr>
      </w:pPr>
      <w:r>
        <w:rPr>
          <w:rFonts w:hint="default" w:ascii="Times New Roman" w:hAnsi="Times New Roman" w:eastAsia="仿宋_GB2312" w:cs="Times New Roman"/>
          <w:kern w:val="2"/>
          <w:sz w:val="28"/>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Times New Roman" w:hAnsi="Times New Roman" w:eastAsia="黑体" w:cs="Times New Roman"/>
          <w:sz w:val="32"/>
          <w:szCs w:val="32"/>
          <w:highlight w:val="none"/>
          <w:lang w:val="en-US" w:eastAsia="zh-CN"/>
        </w:rPr>
        <w:sectPr>
          <w:footerReference r:id="rId5" w:type="default"/>
          <w:pgSz w:w="11905" w:h="16838"/>
          <w:pgMar w:top="1440" w:right="1083" w:bottom="1440" w:left="1083" w:header="850" w:footer="992" w:gutter="0"/>
          <w:pgBorders>
            <w:top w:val="none" w:sz="0" w:space="0"/>
            <w:left w:val="none" w:sz="0" w:space="0"/>
            <w:bottom w:val="none" w:sz="0" w:space="0"/>
            <w:right w:val="none" w:sz="0" w:space="0"/>
          </w:pgBorders>
          <w:pgNumType w:fmt="decimal" w:start="1"/>
          <w:cols w:space="0" w:num="1"/>
          <w:rtlGutter w:val="0"/>
          <w:docGrid w:type="lines" w:linePitch="436" w:charSpace="0"/>
        </w:sectPr>
      </w:pPr>
    </w:p>
    <w:p>
      <w:pPr>
        <w:pageBreakBefore w:val="0"/>
        <w:widowControl w:val="0"/>
        <w:numPr>
          <w:ilvl w:val="0"/>
          <w:numId w:val="1"/>
        </w:numPr>
        <w:kinsoku/>
        <w:wordWrap/>
        <w:overflowPunct/>
        <w:topLinePunct w:val="0"/>
        <w:autoSpaceDE/>
        <w:autoSpaceDN/>
        <w:bidi w:val="0"/>
        <w:adjustRightInd/>
        <w:snapToGrid/>
        <w:spacing w:line="560" w:lineRule="exact"/>
        <w:ind w:left="0" w:leftChars="0" w:firstLine="402" w:firstLineChars="0"/>
        <w:jc w:val="center"/>
        <w:outlineLvl w:val="0"/>
        <w:rPr>
          <w:rFonts w:hint="eastAsia" w:ascii="方正小标宋简体" w:hAnsi="方正小标宋简体" w:eastAsia="方正小标宋简体" w:cs="方正小标宋简体"/>
          <w:sz w:val="32"/>
          <w:szCs w:val="32"/>
          <w:highlight w:val="none"/>
          <w:lang w:val="en-US" w:eastAsia="zh-CN"/>
        </w:rPr>
      </w:pPr>
      <w:bookmarkStart w:id="13" w:name="_Toc22771"/>
      <w:r>
        <w:rPr>
          <w:rFonts w:hint="eastAsia" w:ascii="方正小标宋简体" w:hAnsi="方正小标宋简体" w:eastAsia="方正小标宋简体" w:cs="方正小标宋简体"/>
          <w:sz w:val="32"/>
          <w:szCs w:val="32"/>
          <w:highlight w:val="none"/>
          <w:lang w:val="en-US" w:eastAsia="zh-CN"/>
        </w:rPr>
        <w:t>申请人须知</w:t>
      </w:r>
      <w:bookmarkEnd w:id="13"/>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outlineLvl w:val="9"/>
        <w:rPr>
          <w:rFonts w:hint="default" w:ascii="黑体" w:hAnsi="黑体" w:eastAsia="黑体" w:cs="黑体"/>
          <w:kern w:val="2"/>
          <w:sz w:val="28"/>
          <w:szCs w:val="24"/>
          <w:highlight w:val="none"/>
          <w:lang w:val="en-US" w:eastAsia="zh-CN" w:bidi="ar-SA"/>
        </w:rPr>
      </w:pPr>
      <w:bookmarkStart w:id="14" w:name="_bookmark13"/>
      <w:bookmarkEnd w:id="14"/>
      <w:bookmarkStart w:id="15" w:name="_bookmark14"/>
      <w:bookmarkEnd w:id="15"/>
      <w:bookmarkStart w:id="16" w:name="_bookmark11"/>
      <w:bookmarkEnd w:id="16"/>
      <w:bookmarkStart w:id="17" w:name="_Toc11495"/>
    </w:p>
    <w:bookmarkEnd w:id="17"/>
    <w:p>
      <w:pPr>
        <w:pStyle w:val="19"/>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1"/>
        <w:rPr>
          <w:rFonts w:hint="default" w:ascii="黑体" w:hAnsi="黑体" w:eastAsia="黑体" w:cs="黑体"/>
          <w:kern w:val="2"/>
          <w:sz w:val="28"/>
          <w:szCs w:val="24"/>
          <w:highlight w:val="none"/>
          <w:lang w:val="en-US" w:eastAsia="zh-CN" w:bidi="ar-SA"/>
        </w:rPr>
      </w:pPr>
      <w:bookmarkStart w:id="18" w:name="_Toc13215"/>
      <w:r>
        <w:rPr>
          <w:rFonts w:hint="eastAsia" w:ascii="黑体" w:hAnsi="黑体" w:eastAsia="黑体" w:cs="黑体"/>
          <w:kern w:val="2"/>
          <w:sz w:val="28"/>
          <w:szCs w:val="24"/>
          <w:highlight w:val="none"/>
          <w:lang w:val="en-US" w:eastAsia="zh-CN" w:bidi="ar-SA"/>
        </w:rPr>
        <w:t>资料要求</w:t>
      </w:r>
      <w:bookmarkEnd w:id="18"/>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（一）申请文件1份：格式详见附件一。</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（二）报价文件1份：格式详见附件二。</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（三）申请人须对上述文件逐页盖章，在被采购人确定为中选人以前仅需扫描成PDF文件并邮件递交；被采购人确定为中选人后，须将上述文件装订成册并按照采购人要求递交纸质文件。</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p>
    <w:p>
      <w:pPr>
        <w:pStyle w:val="19"/>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1"/>
        <w:rPr>
          <w:rFonts w:hint="default" w:ascii="黑体" w:hAnsi="黑体" w:eastAsia="黑体" w:cs="黑体"/>
          <w:kern w:val="2"/>
          <w:sz w:val="28"/>
          <w:szCs w:val="24"/>
          <w:highlight w:val="none"/>
          <w:lang w:val="en-US" w:eastAsia="zh-CN" w:bidi="ar-SA"/>
        </w:rPr>
      </w:pPr>
      <w:bookmarkStart w:id="19" w:name="_Toc14380"/>
      <w:r>
        <w:rPr>
          <w:rFonts w:hint="eastAsia" w:ascii="黑体" w:hAnsi="黑体" w:eastAsia="黑体" w:cs="黑体"/>
          <w:kern w:val="2"/>
          <w:sz w:val="28"/>
          <w:szCs w:val="24"/>
          <w:highlight w:val="none"/>
          <w:lang w:val="en-US" w:eastAsia="zh-CN" w:bidi="ar-SA"/>
        </w:rPr>
        <w:t>确定中选人</w:t>
      </w:r>
      <w:bookmarkEnd w:id="19"/>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（一）申请人</w:t>
      </w:r>
      <w:r>
        <w:rPr>
          <w:rFonts w:hint="default" w:cs="Times New Roman"/>
          <w:kern w:val="2"/>
          <w:sz w:val="28"/>
          <w:szCs w:val="24"/>
          <w:highlight w:val="none"/>
          <w:lang w:val="en-US" w:eastAsia="zh-CN" w:bidi="ar-SA"/>
        </w:rPr>
        <w:t>应当对有关</w:t>
      </w:r>
      <w:r>
        <w:rPr>
          <w:rFonts w:hint="eastAsia" w:cs="Times New Roman"/>
          <w:kern w:val="2"/>
          <w:sz w:val="28"/>
          <w:szCs w:val="24"/>
          <w:highlight w:val="none"/>
          <w:lang w:val="en-US" w:eastAsia="zh-CN" w:bidi="ar-SA"/>
        </w:rPr>
        <w:t>服务</w:t>
      </w:r>
      <w:r>
        <w:rPr>
          <w:rFonts w:hint="default" w:cs="Times New Roman"/>
          <w:kern w:val="2"/>
          <w:sz w:val="28"/>
          <w:szCs w:val="24"/>
          <w:highlight w:val="none"/>
          <w:lang w:val="en-US" w:eastAsia="zh-CN" w:bidi="ar-SA"/>
        </w:rPr>
        <w:t>期、</w:t>
      </w:r>
      <w:r>
        <w:rPr>
          <w:rFonts w:hint="eastAsia" w:cs="Times New Roman"/>
          <w:kern w:val="2"/>
          <w:sz w:val="28"/>
          <w:szCs w:val="24"/>
          <w:highlight w:val="none"/>
          <w:lang w:val="en-US" w:eastAsia="zh-CN" w:bidi="ar-SA"/>
        </w:rPr>
        <w:t>报价限价、报价</w:t>
      </w:r>
      <w:r>
        <w:rPr>
          <w:rFonts w:hint="default" w:cs="Times New Roman"/>
          <w:kern w:val="2"/>
          <w:sz w:val="28"/>
          <w:szCs w:val="24"/>
          <w:highlight w:val="none"/>
          <w:lang w:val="en-US" w:eastAsia="zh-CN" w:bidi="ar-SA"/>
        </w:rPr>
        <w:t>有效期、</w:t>
      </w:r>
      <w:r>
        <w:rPr>
          <w:rFonts w:hint="eastAsia" w:cs="Times New Roman"/>
          <w:kern w:val="2"/>
          <w:sz w:val="28"/>
          <w:szCs w:val="24"/>
          <w:highlight w:val="none"/>
          <w:lang w:val="en-US" w:eastAsia="zh-CN" w:bidi="ar-SA"/>
        </w:rPr>
        <w:t>采购</w:t>
      </w:r>
      <w:r>
        <w:rPr>
          <w:rFonts w:hint="default" w:cs="Times New Roman"/>
          <w:kern w:val="2"/>
          <w:sz w:val="28"/>
          <w:szCs w:val="24"/>
          <w:highlight w:val="none"/>
          <w:lang w:val="en-US" w:eastAsia="zh-CN" w:bidi="ar-SA"/>
        </w:rPr>
        <w:t>范围</w:t>
      </w:r>
      <w:r>
        <w:rPr>
          <w:rFonts w:hint="eastAsia" w:cs="Times New Roman"/>
          <w:kern w:val="2"/>
          <w:sz w:val="28"/>
          <w:szCs w:val="24"/>
          <w:highlight w:val="none"/>
          <w:lang w:val="en-US" w:eastAsia="zh-CN" w:bidi="ar-SA"/>
        </w:rPr>
        <w:t>、合同条款</w:t>
      </w:r>
      <w:r>
        <w:rPr>
          <w:rFonts w:hint="default" w:cs="Times New Roman"/>
          <w:kern w:val="2"/>
          <w:sz w:val="28"/>
          <w:szCs w:val="24"/>
          <w:highlight w:val="none"/>
          <w:lang w:val="en-US" w:eastAsia="zh-CN" w:bidi="ar-SA"/>
        </w:rPr>
        <w:t>等实质性内容作出响应。在满足</w:t>
      </w:r>
      <w:r>
        <w:rPr>
          <w:rFonts w:hint="eastAsia" w:cs="Times New Roman"/>
          <w:kern w:val="2"/>
          <w:sz w:val="28"/>
          <w:szCs w:val="24"/>
          <w:highlight w:val="none"/>
          <w:lang w:val="en-US" w:eastAsia="zh-CN" w:bidi="ar-SA"/>
        </w:rPr>
        <w:t>采购</w:t>
      </w:r>
      <w:r>
        <w:rPr>
          <w:rFonts w:hint="default" w:cs="Times New Roman"/>
          <w:kern w:val="2"/>
          <w:sz w:val="28"/>
          <w:szCs w:val="24"/>
          <w:highlight w:val="none"/>
          <w:lang w:val="en-US" w:eastAsia="zh-CN" w:bidi="ar-SA"/>
        </w:rPr>
        <w:t>文件实质性要求的基础上，可以提出比</w:t>
      </w:r>
      <w:r>
        <w:rPr>
          <w:rFonts w:hint="eastAsia" w:cs="Times New Roman"/>
          <w:kern w:val="2"/>
          <w:sz w:val="28"/>
          <w:szCs w:val="24"/>
          <w:highlight w:val="none"/>
          <w:lang w:val="en-US" w:eastAsia="zh-CN" w:bidi="ar-SA"/>
        </w:rPr>
        <w:t>采购</w:t>
      </w:r>
      <w:r>
        <w:rPr>
          <w:rFonts w:hint="default" w:cs="Times New Roman"/>
          <w:kern w:val="2"/>
          <w:sz w:val="28"/>
          <w:szCs w:val="24"/>
          <w:highlight w:val="none"/>
          <w:lang w:val="en-US" w:eastAsia="zh-CN" w:bidi="ar-SA"/>
        </w:rPr>
        <w:t>文件要求更有利于</w:t>
      </w:r>
      <w:r>
        <w:rPr>
          <w:rFonts w:hint="eastAsia" w:cs="Times New Roman"/>
          <w:kern w:val="2"/>
          <w:sz w:val="28"/>
          <w:szCs w:val="24"/>
          <w:highlight w:val="none"/>
          <w:lang w:val="en-US" w:eastAsia="zh-CN" w:bidi="ar-SA"/>
        </w:rPr>
        <w:t>采购人</w:t>
      </w:r>
      <w:r>
        <w:rPr>
          <w:rFonts w:hint="default" w:cs="Times New Roman"/>
          <w:kern w:val="2"/>
          <w:sz w:val="28"/>
          <w:szCs w:val="24"/>
          <w:highlight w:val="none"/>
          <w:lang w:val="en-US" w:eastAsia="zh-CN" w:bidi="ar-SA"/>
        </w:rPr>
        <w:t>的承诺</w:t>
      </w:r>
      <w:r>
        <w:rPr>
          <w:rFonts w:hint="eastAsia" w:cs="Times New Roman"/>
          <w:kern w:val="2"/>
          <w:sz w:val="28"/>
          <w:szCs w:val="24"/>
          <w:highlight w:val="none"/>
          <w:lang w:val="en-US" w:eastAsia="zh-CN" w:bidi="ar-SA"/>
        </w:rPr>
        <w:t>。</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（二）</w:t>
      </w:r>
      <w:r>
        <w:rPr>
          <w:rFonts w:hint="default" w:cs="Times New Roman"/>
          <w:kern w:val="2"/>
          <w:sz w:val="28"/>
          <w:szCs w:val="24"/>
          <w:highlight w:val="none"/>
          <w:lang w:val="en-US" w:eastAsia="zh-CN" w:bidi="ar-SA"/>
        </w:rPr>
        <w:t>本次</w:t>
      </w:r>
      <w:r>
        <w:rPr>
          <w:rFonts w:hint="eastAsia" w:cs="Times New Roman"/>
          <w:kern w:val="2"/>
          <w:sz w:val="28"/>
          <w:szCs w:val="24"/>
          <w:highlight w:val="none"/>
          <w:lang w:val="en-US" w:eastAsia="zh-CN" w:bidi="ar-SA"/>
        </w:rPr>
        <w:t>询价</w:t>
      </w:r>
      <w:r>
        <w:rPr>
          <w:rFonts w:hint="default" w:cs="Times New Roman"/>
          <w:kern w:val="2"/>
          <w:sz w:val="28"/>
          <w:szCs w:val="24"/>
          <w:highlight w:val="none"/>
          <w:lang w:val="en-US" w:eastAsia="zh-CN" w:bidi="ar-SA"/>
        </w:rPr>
        <w:t>采用</w:t>
      </w:r>
      <w:r>
        <w:rPr>
          <w:rFonts w:hint="default" w:cs="Times New Roman"/>
          <w:b/>
          <w:bCs/>
          <w:kern w:val="2"/>
          <w:sz w:val="28"/>
          <w:szCs w:val="24"/>
          <w:highlight w:val="none"/>
          <w:lang w:val="en-US" w:eastAsia="zh-CN" w:bidi="ar-SA"/>
        </w:rPr>
        <w:t>最低价</w:t>
      </w:r>
      <w:r>
        <w:rPr>
          <w:rFonts w:hint="eastAsia" w:cs="Times New Roman"/>
          <w:b/>
          <w:bCs/>
          <w:kern w:val="2"/>
          <w:sz w:val="28"/>
          <w:szCs w:val="24"/>
          <w:highlight w:val="none"/>
          <w:lang w:val="en-US" w:eastAsia="zh-CN" w:bidi="ar-SA"/>
        </w:rPr>
        <w:t>中选</w:t>
      </w:r>
      <w:r>
        <w:rPr>
          <w:rFonts w:hint="default" w:cs="Times New Roman"/>
          <w:b/>
          <w:bCs/>
          <w:kern w:val="2"/>
          <w:sz w:val="28"/>
          <w:szCs w:val="24"/>
          <w:highlight w:val="none"/>
          <w:lang w:val="en-US" w:eastAsia="zh-CN" w:bidi="ar-SA"/>
        </w:rPr>
        <w:t>法</w:t>
      </w:r>
      <w:r>
        <w:rPr>
          <w:rFonts w:hint="eastAsia" w:cs="Times New Roman"/>
          <w:b w:val="0"/>
          <w:bCs w:val="0"/>
          <w:kern w:val="2"/>
          <w:sz w:val="28"/>
          <w:szCs w:val="24"/>
          <w:highlight w:val="none"/>
          <w:lang w:val="en-US" w:eastAsia="zh-CN" w:bidi="ar-SA"/>
        </w:rPr>
        <w:t>。</w:t>
      </w:r>
      <w:r>
        <w:rPr>
          <w:rFonts w:hint="eastAsia" w:cs="Times New Roman"/>
          <w:kern w:val="2"/>
          <w:sz w:val="28"/>
          <w:szCs w:val="24"/>
          <w:highlight w:val="none"/>
          <w:lang w:val="en-US" w:eastAsia="zh-CN" w:bidi="ar-SA"/>
        </w:rPr>
        <w:t>采购人</w:t>
      </w:r>
      <w:r>
        <w:rPr>
          <w:rFonts w:hint="default" w:cs="Times New Roman"/>
          <w:kern w:val="2"/>
          <w:sz w:val="28"/>
          <w:szCs w:val="24"/>
          <w:highlight w:val="none"/>
          <w:lang w:val="en-US" w:eastAsia="zh-CN" w:bidi="ar-SA"/>
        </w:rPr>
        <w:t>对满足</w:t>
      </w:r>
      <w:r>
        <w:rPr>
          <w:rFonts w:hint="eastAsia" w:cs="Times New Roman"/>
          <w:kern w:val="2"/>
          <w:sz w:val="28"/>
          <w:szCs w:val="24"/>
          <w:highlight w:val="none"/>
          <w:lang w:val="en-US" w:eastAsia="zh-CN" w:bidi="ar-SA"/>
        </w:rPr>
        <w:t>采购</w:t>
      </w:r>
      <w:r>
        <w:rPr>
          <w:rFonts w:hint="default" w:cs="Times New Roman"/>
          <w:kern w:val="2"/>
          <w:sz w:val="28"/>
          <w:szCs w:val="24"/>
          <w:highlight w:val="none"/>
          <w:lang w:val="en-US" w:eastAsia="zh-CN" w:bidi="ar-SA"/>
        </w:rPr>
        <w:t>文件实质性要求的</w:t>
      </w:r>
      <w:r>
        <w:rPr>
          <w:rFonts w:hint="eastAsia" w:cs="Times New Roman"/>
          <w:kern w:val="2"/>
          <w:sz w:val="28"/>
          <w:szCs w:val="24"/>
          <w:highlight w:val="none"/>
          <w:lang w:val="en-US" w:eastAsia="zh-CN" w:bidi="ar-SA"/>
        </w:rPr>
        <w:t>报价</w:t>
      </w:r>
      <w:r>
        <w:rPr>
          <w:rFonts w:hint="default" w:cs="Times New Roman"/>
          <w:kern w:val="2"/>
          <w:sz w:val="28"/>
          <w:szCs w:val="24"/>
          <w:highlight w:val="none"/>
          <w:lang w:val="en-US" w:eastAsia="zh-CN" w:bidi="ar-SA"/>
        </w:rPr>
        <w:t>文件，按照</w:t>
      </w:r>
      <w:r>
        <w:rPr>
          <w:rFonts w:hint="eastAsia" w:cs="Times New Roman"/>
          <w:kern w:val="2"/>
          <w:sz w:val="28"/>
          <w:szCs w:val="24"/>
          <w:highlight w:val="none"/>
          <w:lang w:val="en-US" w:eastAsia="zh-CN" w:bidi="ar-SA"/>
        </w:rPr>
        <w:t>综合报</w:t>
      </w:r>
      <w:r>
        <w:rPr>
          <w:rFonts w:hint="default" w:cs="Times New Roman"/>
          <w:kern w:val="2"/>
          <w:sz w:val="28"/>
          <w:szCs w:val="24"/>
          <w:highlight w:val="none"/>
          <w:lang w:val="en-US" w:eastAsia="zh-CN" w:bidi="ar-SA"/>
        </w:rPr>
        <w:t>价由低到高的顺序推荐中</w:t>
      </w:r>
      <w:r>
        <w:rPr>
          <w:rFonts w:hint="eastAsia" w:cs="Times New Roman"/>
          <w:kern w:val="2"/>
          <w:sz w:val="28"/>
          <w:szCs w:val="24"/>
          <w:highlight w:val="none"/>
          <w:lang w:val="en-US" w:eastAsia="zh-CN" w:bidi="ar-SA"/>
        </w:rPr>
        <w:t>选</w:t>
      </w:r>
      <w:r>
        <w:rPr>
          <w:rFonts w:hint="default" w:cs="Times New Roman"/>
          <w:kern w:val="2"/>
          <w:sz w:val="28"/>
          <w:szCs w:val="24"/>
          <w:highlight w:val="none"/>
          <w:lang w:val="en-US" w:eastAsia="zh-CN" w:bidi="ar-SA"/>
        </w:rPr>
        <w:t>候选人</w:t>
      </w:r>
      <w:r>
        <w:rPr>
          <w:rFonts w:hint="eastAsia" w:cs="Times New Roman"/>
          <w:kern w:val="2"/>
          <w:sz w:val="28"/>
          <w:szCs w:val="24"/>
          <w:highlight w:val="none"/>
          <w:lang w:val="en-US" w:eastAsia="zh-CN" w:bidi="ar-SA"/>
        </w:rPr>
        <w:t>，若第1名放弃权利，采购人可邀请第2名中选候选人谈判商定，以此类推。</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b/>
          <w:bCs/>
          <w:kern w:val="2"/>
          <w:sz w:val="28"/>
          <w:szCs w:val="24"/>
          <w:highlight w:val="none"/>
          <w:lang w:val="en-US" w:eastAsia="zh-CN" w:bidi="ar-SA"/>
        </w:rPr>
      </w:pPr>
      <w:bookmarkStart w:id="20" w:name="_bookmark18"/>
      <w:bookmarkEnd w:id="20"/>
      <w:r>
        <w:rPr>
          <w:rFonts w:hint="eastAsia" w:cs="Times New Roman"/>
          <w:kern w:val="2"/>
          <w:sz w:val="28"/>
          <w:szCs w:val="24"/>
          <w:highlight w:val="none"/>
          <w:lang w:val="en-US" w:eastAsia="zh-CN" w:bidi="ar-SA"/>
        </w:rPr>
        <w:t>（三）同一包件满足3家申请人及以上报价，以最低报价申请人为中选人。若同一包件仅有2家申请人报价，采购人以竞争性谈判方式确定中选人；若同一包件仅有1家申请人报价，采购人与该申请人进行谈判确定。</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（四）中选候选人公示期为1天，申请人</w:t>
      </w:r>
      <w:r>
        <w:rPr>
          <w:rFonts w:hint="default" w:cs="Times New Roman"/>
          <w:kern w:val="2"/>
          <w:sz w:val="28"/>
          <w:szCs w:val="24"/>
          <w:highlight w:val="none"/>
          <w:lang w:val="en-US" w:eastAsia="zh-CN" w:bidi="ar-SA"/>
        </w:rPr>
        <w:t>对</w:t>
      </w:r>
      <w:r>
        <w:rPr>
          <w:rFonts w:hint="eastAsia" w:cs="Times New Roman"/>
          <w:kern w:val="2"/>
          <w:sz w:val="28"/>
          <w:szCs w:val="24"/>
          <w:highlight w:val="none"/>
          <w:lang w:val="en-US" w:eastAsia="zh-CN" w:bidi="ar-SA"/>
        </w:rPr>
        <w:t>报价结果</w:t>
      </w:r>
      <w:r>
        <w:rPr>
          <w:rFonts w:hint="default" w:cs="Times New Roman"/>
          <w:kern w:val="2"/>
          <w:sz w:val="28"/>
          <w:szCs w:val="24"/>
          <w:highlight w:val="none"/>
          <w:lang w:val="en-US" w:eastAsia="zh-CN" w:bidi="ar-SA"/>
        </w:rPr>
        <w:t>有异议的，应当在中</w:t>
      </w:r>
      <w:r>
        <w:rPr>
          <w:rFonts w:hint="eastAsia" w:cs="Times New Roman"/>
          <w:kern w:val="2"/>
          <w:sz w:val="28"/>
          <w:szCs w:val="24"/>
          <w:highlight w:val="none"/>
          <w:lang w:val="en-US" w:eastAsia="zh-CN" w:bidi="ar-SA"/>
        </w:rPr>
        <w:t>选</w:t>
      </w:r>
      <w:r>
        <w:rPr>
          <w:rFonts w:hint="default" w:cs="Times New Roman"/>
          <w:kern w:val="2"/>
          <w:sz w:val="28"/>
          <w:szCs w:val="24"/>
          <w:highlight w:val="none"/>
          <w:lang w:val="en-US" w:eastAsia="zh-CN" w:bidi="ar-SA"/>
        </w:rPr>
        <w:t>候选人公示期间提出。</w:t>
      </w:r>
      <w:r>
        <w:rPr>
          <w:rFonts w:hint="eastAsia" w:cs="Times New Roman"/>
          <w:kern w:val="2"/>
          <w:sz w:val="28"/>
          <w:szCs w:val="24"/>
          <w:highlight w:val="none"/>
          <w:lang w:val="en-US" w:eastAsia="zh-CN" w:bidi="ar-SA"/>
        </w:rPr>
        <w:t>采购</w:t>
      </w:r>
      <w:r>
        <w:rPr>
          <w:rFonts w:hint="default" w:cs="Times New Roman"/>
          <w:kern w:val="2"/>
          <w:sz w:val="28"/>
          <w:szCs w:val="24"/>
          <w:highlight w:val="none"/>
          <w:lang w:val="en-US" w:eastAsia="zh-CN" w:bidi="ar-SA"/>
        </w:rPr>
        <w:t>人将在收到异议</w:t>
      </w:r>
      <w:r>
        <w:rPr>
          <w:rFonts w:hint="eastAsia" w:cs="Times New Roman"/>
          <w:kern w:val="2"/>
          <w:sz w:val="28"/>
          <w:szCs w:val="24"/>
          <w:highlight w:val="none"/>
          <w:lang w:val="en-US" w:eastAsia="zh-CN" w:bidi="ar-SA"/>
        </w:rPr>
        <w:t>两个工作日</w:t>
      </w:r>
      <w:r>
        <w:rPr>
          <w:rFonts w:hint="default" w:cs="Times New Roman"/>
          <w:kern w:val="2"/>
          <w:sz w:val="28"/>
          <w:szCs w:val="24"/>
          <w:highlight w:val="none"/>
          <w:lang w:val="en-US" w:eastAsia="zh-CN" w:bidi="ar-SA"/>
        </w:rPr>
        <w:t>内作出答复</w:t>
      </w:r>
      <w:r>
        <w:rPr>
          <w:rFonts w:hint="eastAsia" w:cs="Times New Roman"/>
          <w:kern w:val="2"/>
          <w:sz w:val="28"/>
          <w:szCs w:val="24"/>
          <w:highlight w:val="none"/>
          <w:lang w:val="en-US" w:eastAsia="zh-CN" w:bidi="ar-SA"/>
        </w:rPr>
        <w:t>，并在答复前暂停采购活动</w:t>
      </w:r>
      <w:r>
        <w:rPr>
          <w:rFonts w:hint="default" w:cs="Times New Roman"/>
          <w:kern w:val="2"/>
          <w:sz w:val="28"/>
          <w:szCs w:val="24"/>
          <w:highlight w:val="none"/>
          <w:lang w:val="en-US" w:eastAsia="zh-CN" w:bidi="ar-SA"/>
        </w:rPr>
        <w:t>。</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（五）授予合同：采购人结合询价结果，向包件最低中选候选人发送中选通知，并按采购文件合同范本签订合同。</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p>
    <w:p>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outlineLvl w:val="1"/>
        <w:rPr>
          <w:rFonts w:hint="default" w:ascii="黑体" w:hAnsi="黑体" w:eastAsia="黑体" w:cs="黑体"/>
          <w:kern w:val="2"/>
          <w:sz w:val="28"/>
          <w:szCs w:val="24"/>
          <w:highlight w:val="none"/>
          <w:lang w:val="en-US" w:eastAsia="zh-CN" w:bidi="ar-SA"/>
        </w:rPr>
      </w:pPr>
      <w:r>
        <w:rPr>
          <w:rFonts w:hint="eastAsia" w:ascii="黑体" w:hAnsi="黑体" w:eastAsia="黑体" w:cs="黑体"/>
          <w:kern w:val="2"/>
          <w:sz w:val="28"/>
          <w:szCs w:val="24"/>
          <w:highlight w:val="none"/>
          <w:lang w:val="en-US" w:eastAsia="zh-CN" w:bidi="ar-SA"/>
        </w:rPr>
        <w:t>三．保证金</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bookmarkStart w:id="21" w:name="_bookmark19"/>
      <w:bookmarkEnd w:id="21"/>
      <w:r>
        <w:rPr>
          <w:rFonts w:hint="eastAsia" w:cs="Times New Roman"/>
          <w:kern w:val="2"/>
          <w:sz w:val="28"/>
          <w:szCs w:val="24"/>
          <w:highlight w:val="none"/>
          <w:lang w:val="en-US" w:eastAsia="zh-CN" w:bidi="ar-SA"/>
        </w:rPr>
        <w:t>（一）申请人需缴纳报价保证金10万元整。</w:t>
      </w:r>
      <w:r>
        <w:rPr>
          <w:rFonts w:hint="default" w:cs="Times New Roman"/>
          <w:kern w:val="2"/>
          <w:sz w:val="28"/>
          <w:szCs w:val="24"/>
          <w:highlight w:val="none"/>
          <w:lang w:val="en-US" w:eastAsia="zh-CN" w:bidi="ar-SA"/>
        </w:rPr>
        <w:t>报价保证金缴纳方式为银行转账，支付保证金请备注：</w:t>
      </w:r>
      <w:r>
        <w:rPr>
          <w:rFonts w:hint="eastAsia" w:cs="Times New Roman"/>
          <w:kern w:val="2"/>
          <w:sz w:val="28"/>
          <w:szCs w:val="24"/>
          <w:highlight w:val="none"/>
          <w:lang w:val="en-US" w:eastAsia="zh-CN" w:bidi="ar-SA"/>
        </w:rPr>
        <w:t>达州绕城高速西段</w:t>
      </w:r>
      <w:r>
        <w:rPr>
          <w:rFonts w:hint="eastAsia" w:ascii="Times New Roman" w:hAnsi="Times New Roman" w:cs="Times New Roman"/>
          <w:kern w:val="2"/>
          <w:sz w:val="28"/>
          <w:szCs w:val="24"/>
          <w:highlight w:val="none"/>
          <w:lang w:val="en-US" w:eastAsia="zh-CN" w:bidi="ar-SA"/>
        </w:rPr>
        <w:t>钢材项目</w:t>
      </w:r>
      <w:r>
        <w:rPr>
          <w:rFonts w:hint="default" w:cs="Times New Roman"/>
          <w:kern w:val="2"/>
          <w:sz w:val="28"/>
          <w:szCs w:val="24"/>
          <w:highlight w:val="none"/>
          <w:lang w:val="en-US" w:eastAsia="zh-CN" w:bidi="ar-SA"/>
        </w:rPr>
        <w:t>。报价保证金必须从本单位账户汇出，以银行到账为准，截止到账时间为202</w:t>
      </w:r>
      <w:r>
        <w:rPr>
          <w:rFonts w:hint="eastAsia" w:cs="Times New Roman"/>
          <w:kern w:val="2"/>
          <w:sz w:val="28"/>
          <w:szCs w:val="24"/>
          <w:highlight w:val="none"/>
          <w:lang w:val="en-US" w:eastAsia="zh-CN" w:bidi="ar-SA"/>
        </w:rPr>
        <w:t>4</w:t>
      </w:r>
      <w:r>
        <w:rPr>
          <w:rFonts w:hint="default" w:cs="Times New Roman"/>
          <w:kern w:val="2"/>
          <w:sz w:val="28"/>
          <w:szCs w:val="24"/>
          <w:highlight w:val="none"/>
          <w:lang w:val="en-US" w:eastAsia="zh-CN" w:bidi="ar-SA"/>
        </w:rPr>
        <w:t>年2月</w:t>
      </w:r>
      <w:r>
        <w:rPr>
          <w:rFonts w:hint="eastAsia" w:cs="Times New Roman"/>
          <w:kern w:val="2"/>
          <w:sz w:val="28"/>
          <w:szCs w:val="24"/>
          <w:highlight w:val="none"/>
          <w:lang w:val="en-US" w:eastAsia="zh-CN" w:bidi="ar-SA"/>
        </w:rPr>
        <w:t>29</w:t>
      </w:r>
      <w:r>
        <w:rPr>
          <w:rFonts w:hint="default" w:cs="Times New Roman"/>
          <w:kern w:val="2"/>
          <w:sz w:val="28"/>
          <w:szCs w:val="24"/>
          <w:highlight w:val="none"/>
          <w:lang w:val="en-US" w:eastAsia="zh-CN" w:bidi="ar-SA"/>
        </w:rPr>
        <w:t>日1</w:t>
      </w:r>
      <w:r>
        <w:rPr>
          <w:rFonts w:hint="eastAsia" w:cs="Times New Roman"/>
          <w:kern w:val="2"/>
          <w:sz w:val="28"/>
          <w:szCs w:val="24"/>
          <w:highlight w:val="none"/>
          <w:lang w:val="en-US" w:eastAsia="zh-CN" w:bidi="ar-SA"/>
        </w:rPr>
        <w:t>4</w:t>
      </w:r>
      <w:r>
        <w:rPr>
          <w:rFonts w:hint="default" w:cs="Times New Roman"/>
          <w:kern w:val="2"/>
          <w:sz w:val="28"/>
          <w:szCs w:val="24"/>
          <w:highlight w:val="none"/>
          <w:lang w:val="en-US" w:eastAsia="zh-CN" w:bidi="ar-SA"/>
        </w:rPr>
        <w:t>:00时前。报价保证金收款账户：四川蜀物兴川物流发展有限公司，开户行：中国工商银行股份有限公司成都滨江支行，银行账号：4402204009100166669。</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（二）</w:t>
      </w:r>
      <w:r>
        <w:rPr>
          <w:rFonts w:hint="default" w:cs="Times New Roman"/>
          <w:kern w:val="2"/>
          <w:sz w:val="28"/>
          <w:szCs w:val="24"/>
          <w:highlight w:val="none"/>
          <w:lang w:val="en-US" w:eastAsia="zh-CN" w:bidi="ar-SA"/>
        </w:rPr>
        <w:t>报价保证金退还：在递交报价文件后，报价保证金由采购人统一办理报价保证金退还。报价人在报价截止时间之后撤销报价或成交后不能按要求签订合同的，其报价保证金不予退还，并列为不诚信单位。</w:t>
      </w:r>
    </w:p>
    <w:p>
      <w:pPr>
        <w:ind w:left="0" w:leftChars="0" w:firstLine="0" w:firstLineChars="0"/>
        <w:outlineLvl w:val="9"/>
        <w:rPr>
          <w:rFonts w:ascii="Arial"/>
          <w:sz w:val="21"/>
          <w:highlight w:val="none"/>
        </w:rPr>
      </w:pPr>
    </w:p>
    <w:p>
      <w:pPr>
        <w:spacing w:line="246" w:lineRule="auto"/>
        <w:outlineLvl w:val="9"/>
        <w:rPr>
          <w:rFonts w:ascii="Arial"/>
          <w:sz w:val="21"/>
          <w:highlight w:val="none"/>
        </w:rPr>
      </w:pPr>
    </w:p>
    <w:p>
      <w:pPr>
        <w:spacing w:line="246" w:lineRule="auto"/>
        <w:outlineLvl w:val="9"/>
        <w:rPr>
          <w:rFonts w:ascii="Arial"/>
          <w:sz w:val="21"/>
          <w:highlight w:val="none"/>
        </w:rPr>
      </w:pPr>
    </w:p>
    <w:p>
      <w:pPr>
        <w:spacing w:line="246" w:lineRule="auto"/>
        <w:outlineLvl w:val="9"/>
        <w:rPr>
          <w:rFonts w:ascii="Arial"/>
          <w:sz w:val="21"/>
          <w:highlight w:val="none"/>
        </w:rPr>
      </w:pPr>
    </w:p>
    <w:p>
      <w:pPr>
        <w:spacing w:line="246" w:lineRule="auto"/>
        <w:outlineLvl w:val="9"/>
        <w:rPr>
          <w:rFonts w:ascii="Arial"/>
          <w:sz w:val="21"/>
          <w:highlight w:val="none"/>
        </w:rPr>
      </w:pPr>
    </w:p>
    <w:p>
      <w:pPr>
        <w:spacing w:line="246" w:lineRule="auto"/>
        <w:outlineLvl w:val="9"/>
        <w:rPr>
          <w:rFonts w:ascii="Arial"/>
          <w:sz w:val="21"/>
          <w:highlight w:val="none"/>
        </w:rPr>
      </w:pPr>
    </w:p>
    <w:p>
      <w:pPr>
        <w:spacing w:line="246" w:lineRule="auto"/>
        <w:outlineLvl w:val="9"/>
        <w:rPr>
          <w:rFonts w:ascii="Arial"/>
          <w:sz w:val="21"/>
          <w:highlight w:val="none"/>
        </w:rPr>
      </w:pPr>
    </w:p>
    <w:p>
      <w:pPr>
        <w:spacing w:line="246" w:lineRule="auto"/>
        <w:outlineLvl w:val="9"/>
        <w:rPr>
          <w:rFonts w:ascii="Arial"/>
          <w:sz w:val="21"/>
          <w:highlight w:val="none"/>
        </w:rPr>
      </w:pPr>
    </w:p>
    <w:p>
      <w:pPr>
        <w:spacing w:line="246" w:lineRule="auto"/>
        <w:outlineLvl w:val="9"/>
        <w:rPr>
          <w:rFonts w:ascii="Arial"/>
          <w:sz w:val="21"/>
          <w:highlight w:val="none"/>
        </w:rPr>
      </w:pPr>
    </w:p>
    <w:p>
      <w:pPr>
        <w:spacing w:line="246" w:lineRule="auto"/>
        <w:outlineLvl w:val="9"/>
        <w:rPr>
          <w:rFonts w:ascii="Arial"/>
          <w:sz w:val="21"/>
          <w:highlight w:val="none"/>
        </w:rPr>
      </w:pPr>
    </w:p>
    <w:p>
      <w:pPr>
        <w:spacing w:line="246" w:lineRule="auto"/>
        <w:outlineLvl w:val="9"/>
        <w:rPr>
          <w:rFonts w:ascii="Arial"/>
          <w:sz w:val="21"/>
          <w:highlight w:val="none"/>
        </w:rPr>
      </w:pPr>
    </w:p>
    <w:p>
      <w:pPr>
        <w:pStyle w:val="2"/>
        <w:rPr>
          <w:highlight w:val="none"/>
        </w:rPr>
      </w:pPr>
    </w:p>
    <w:p>
      <w:pPr>
        <w:spacing w:line="246" w:lineRule="auto"/>
        <w:outlineLvl w:val="9"/>
        <w:rPr>
          <w:rFonts w:ascii="Arial"/>
          <w:sz w:val="21"/>
          <w:highlight w:val="none"/>
        </w:rPr>
      </w:pPr>
    </w:p>
    <w:p>
      <w:pPr>
        <w:spacing w:line="246" w:lineRule="auto"/>
        <w:outlineLvl w:val="9"/>
        <w:rPr>
          <w:rFonts w:ascii="Arial"/>
          <w:sz w:val="21"/>
          <w:highlight w:val="none"/>
        </w:rPr>
      </w:pPr>
    </w:p>
    <w:p>
      <w:pPr>
        <w:pStyle w:val="3"/>
        <w:rPr>
          <w:highlight w:val="none"/>
        </w:rPr>
      </w:pPr>
    </w:p>
    <w:p>
      <w:pPr>
        <w:pageBreakBefore w:val="0"/>
        <w:widowControl w:val="0"/>
        <w:numPr>
          <w:ilvl w:val="0"/>
          <w:numId w:val="0"/>
        </w:numPr>
        <w:tabs>
          <w:tab w:val="left" w:pos="0"/>
        </w:tabs>
        <w:kinsoku/>
        <w:wordWrap/>
        <w:overflowPunct/>
        <w:topLinePunct w:val="0"/>
        <w:autoSpaceDE/>
        <w:autoSpaceDN/>
        <w:bidi w:val="0"/>
        <w:adjustRightInd/>
        <w:snapToGrid/>
        <w:spacing w:line="560" w:lineRule="exact"/>
        <w:jc w:val="both"/>
        <w:outlineLvl w:val="9"/>
        <w:rPr>
          <w:rFonts w:ascii="宋体" w:hAnsi="宋体" w:eastAsia="宋体" w:cs="宋体"/>
          <w:sz w:val="31"/>
          <w:szCs w:val="31"/>
          <w:highlight w:val="none"/>
        </w:rPr>
      </w:pPr>
    </w:p>
    <w:p>
      <w:pPr>
        <w:pageBreakBefore w:val="0"/>
        <w:widowControl w:val="0"/>
        <w:numPr>
          <w:ilvl w:val="0"/>
          <w:numId w:val="1"/>
        </w:numPr>
        <w:kinsoku/>
        <w:wordWrap/>
        <w:overflowPunct/>
        <w:topLinePunct w:val="0"/>
        <w:autoSpaceDE/>
        <w:autoSpaceDN/>
        <w:bidi w:val="0"/>
        <w:adjustRightInd/>
        <w:snapToGrid/>
        <w:spacing w:line="560" w:lineRule="exact"/>
        <w:ind w:left="0" w:leftChars="0" w:firstLine="402" w:firstLineChars="0"/>
        <w:jc w:val="center"/>
        <w:outlineLvl w:val="0"/>
        <w:rPr>
          <w:rFonts w:hint="eastAsia" w:ascii="方正小标宋简体" w:hAnsi="方正小标宋简体" w:eastAsia="方正小标宋简体" w:cs="方正小标宋简体"/>
          <w:sz w:val="32"/>
          <w:szCs w:val="32"/>
          <w:highlight w:val="none"/>
          <w:lang w:val="en-US" w:eastAsia="zh-CN"/>
        </w:rPr>
      </w:pPr>
      <w:bookmarkStart w:id="22" w:name="_Toc29804"/>
      <w:bookmarkStart w:id="23" w:name="_Toc22852"/>
      <w:r>
        <w:rPr>
          <w:rFonts w:hint="eastAsia" w:ascii="方正小标宋简体" w:hAnsi="方正小标宋简体" w:eastAsia="方正小标宋简体" w:cs="方正小标宋简体"/>
          <w:sz w:val="32"/>
          <w:szCs w:val="32"/>
          <w:highlight w:val="none"/>
          <w:lang w:val="en-US" w:eastAsia="zh-CN"/>
        </w:rPr>
        <w:t>合同条款及格式</w:t>
      </w:r>
      <w:bookmarkEnd w:id="22"/>
      <w:bookmarkEnd w:id="23"/>
    </w:p>
    <w:p>
      <w:pPr>
        <w:pageBreakBefore w:val="0"/>
        <w:widowControl w:val="0"/>
        <w:kinsoku/>
        <w:wordWrap/>
        <w:overflowPunct/>
        <w:topLinePunct w:val="0"/>
        <w:autoSpaceDE/>
        <w:autoSpaceDN/>
        <w:bidi w:val="0"/>
        <w:adjustRightInd/>
        <w:snapToGrid/>
        <w:spacing w:line="560" w:lineRule="exact"/>
        <w:ind w:left="0" w:leftChars="0" w:firstLine="0" w:firstLineChars="0"/>
        <w:jc w:val="left"/>
        <w:rPr>
          <w:rFonts w:hint="eastAsia" w:ascii="Times New Roman" w:hAnsi="Times New Roman" w:eastAsia="黑体" w:cs="Times New Roman"/>
          <w:sz w:val="32"/>
          <w:szCs w:val="32"/>
          <w:highlight w:val="none"/>
          <w:lang w:val="en-US" w:eastAsia="zh-CN"/>
        </w:rPr>
      </w:pPr>
      <w:r>
        <w:rPr>
          <w:rFonts w:hint="eastAsia" w:ascii="仿宋_GB2312" w:hAnsi="仿宋_GB2312" w:eastAsia="仿宋_GB2312" w:cs="仿宋_GB2312"/>
          <w:kern w:val="0"/>
          <w:sz w:val="24"/>
          <w:szCs w:val="24"/>
          <w:highlight w:val="none"/>
          <w:lang w:val="en-US" w:eastAsia="zh-CN"/>
        </w:rPr>
        <w:br w:type="page"/>
      </w:r>
    </w:p>
    <w:p>
      <w:pPr>
        <w:spacing w:before="240" w:after="60" w:line="360" w:lineRule="auto"/>
        <w:ind w:firstLine="0" w:firstLineChars="0"/>
        <w:jc w:val="center"/>
        <w:outlineLvl w:val="9"/>
        <w:rPr>
          <w:rFonts w:ascii="宋体" w:hAnsi="宋体" w:eastAsia="宋体" w:cs="宋体"/>
          <w:bCs/>
          <w:kern w:val="0"/>
          <w:sz w:val="36"/>
          <w:szCs w:val="36"/>
          <w:highlight w:val="none"/>
        </w:rPr>
      </w:pPr>
    </w:p>
    <w:p>
      <w:pPr>
        <w:spacing w:before="240" w:after="60" w:line="360" w:lineRule="auto"/>
        <w:ind w:firstLine="0" w:firstLineChars="0"/>
        <w:jc w:val="center"/>
        <w:outlineLvl w:val="9"/>
        <w:rPr>
          <w:rFonts w:ascii="宋体" w:hAnsi="宋体" w:eastAsia="宋体" w:cs="宋体"/>
          <w:bCs/>
          <w:kern w:val="0"/>
          <w:sz w:val="36"/>
          <w:szCs w:val="36"/>
          <w:highlight w:val="none"/>
        </w:rPr>
      </w:pPr>
    </w:p>
    <w:p>
      <w:pPr>
        <w:spacing w:before="240" w:after="60" w:line="360" w:lineRule="auto"/>
        <w:ind w:firstLine="0" w:firstLineChars="0"/>
        <w:jc w:val="center"/>
        <w:outlineLvl w:val="9"/>
        <w:rPr>
          <w:rFonts w:ascii="宋体" w:hAnsi="宋体" w:eastAsia="宋体" w:cs="宋体"/>
          <w:bCs/>
          <w:kern w:val="0"/>
          <w:sz w:val="36"/>
          <w:szCs w:val="36"/>
          <w:highlight w:val="none"/>
        </w:rPr>
      </w:pPr>
    </w:p>
    <w:p>
      <w:pPr>
        <w:pStyle w:val="16"/>
        <w:spacing w:line="360" w:lineRule="auto"/>
        <w:ind w:left="0" w:leftChars="0" w:firstLine="0" w:firstLineChars="0"/>
        <w:jc w:val="center"/>
        <w:outlineLvl w:val="9"/>
        <w:rPr>
          <w:rFonts w:ascii="宋体" w:hAnsi="宋体" w:eastAsia="宋体" w:cs="仿宋"/>
          <w:b w:val="0"/>
          <w:bCs w:val="0"/>
          <w:color w:val="000000"/>
          <w:sz w:val="84"/>
          <w:szCs w:val="84"/>
          <w:highlight w:val="none"/>
          <w:lang w:val="ja-JP"/>
        </w:rPr>
      </w:pPr>
      <w:bookmarkStart w:id="24" w:name="_Toc1774"/>
      <w:bookmarkStart w:id="25" w:name="_Toc24134"/>
      <w:bookmarkStart w:id="26" w:name="_Toc1716"/>
      <w:bookmarkStart w:id="27" w:name="_Toc31302"/>
      <w:bookmarkStart w:id="28" w:name="_Toc28526"/>
      <w:bookmarkStart w:id="29" w:name="_Toc25711"/>
      <w:r>
        <w:rPr>
          <w:rFonts w:hint="eastAsia" w:ascii="宋体" w:hAnsi="宋体" w:eastAsia="宋体" w:cs="仿宋"/>
          <w:color w:val="000000"/>
          <w:sz w:val="84"/>
          <w:szCs w:val="84"/>
          <w:highlight w:val="none"/>
          <w:lang w:val="en-US" w:eastAsia="zh-CN"/>
        </w:rPr>
        <w:t>钢材采购</w:t>
      </w:r>
      <w:r>
        <w:rPr>
          <w:rFonts w:hint="eastAsia" w:ascii="宋体" w:hAnsi="宋体" w:eastAsia="宋体" w:cs="仿宋"/>
          <w:color w:val="000000"/>
          <w:sz w:val="84"/>
          <w:szCs w:val="84"/>
          <w:highlight w:val="none"/>
        </w:rPr>
        <w:t>合同</w:t>
      </w:r>
      <w:bookmarkEnd w:id="24"/>
      <w:bookmarkEnd w:id="25"/>
      <w:bookmarkEnd w:id="26"/>
      <w:bookmarkEnd w:id="27"/>
      <w:bookmarkEnd w:id="28"/>
      <w:bookmarkEnd w:id="29"/>
    </w:p>
    <w:p>
      <w:pPr>
        <w:pStyle w:val="29"/>
        <w:spacing w:line="360" w:lineRule="auto"/>
        <w:outlineLvl w:val="9"/>
        <w:rPr>
          <w:rFonts w:hint="default" w:ascii="宋体" w:hAnsi="宋体" w:eastAsia="宋体" w:cs="仿宋"/>
          <w:color w:val="000000"/>
          <w:highlight w:val="none"/>
          <w:lang w:val="ja-JP"/>
        </w:rPr>
      </w:pPr>
    </w:p>
    <w:p>
      <w:pPr>
        <w:pStyle w:val="29"/>
        <w:spacing w:line="360" w:lineRule="auto"/>
        <w:outlineLvl w:val="9"/>
        <w:rPr>
          <w:rFonts w:hint="default" w:ascii="宋体" w:hAnsi="宋体" w:eastAsia="宋体" w:cs="仿宋"/>
          <w:color w:val="000000"/>
          <w:highlight w:val="none"/>
          <w:lang w:val="ja-JP"/>
        </w:rPr>
      </w:pPr>
    </w:p>
    <w:p>
      <w:pPr>
        <w:pStyle w:val="29"/>
        <w:spacing w:line="360" w:lineRule="auto"/>
        <w:outlineLvl w:val="9"/>
        <w:rPr>
          <w:rFonts w:hint="default" w:ascii="宋体" w:hAnsi="宋体" w:eastAsia="宋体" w:cs="仿宋"/>
          <w:color w:val="000000"/>
          <w:highlight w:val="none"/>
          <w:lang w:val="ja-JP"/>
        </w:rPr>
      </w:pPr>
    </w:p>
    <w:p>
      <w:pPr>
        <w:pStyle w:val="29"/>
        <w:spacing w:line="360" w:lineRule="auto"/>
        <w:outlineLvl w:val="9"/>
        <w:rPr>
          <w:rFonts w:hint="default" w:ascii="宋体" w:hAnsi="宋体" w:eastAsia="宋体" w:cs="仿宋"/>
          <w:color w:val="000000"/>
          <w:highlight w:val="none"/>
          <w:lang w:val="ja-JP"/>
        </w:rPr>
      </w:pPr>
    </w:p>
    <w:p>
      <w:pPr>
        <w:pStyle w:val="29"/>
        <w:spacing w:line="360" w:lineRule="auto"/>
        <w:outlineLvl w:val="9"/>
        <w:rPr>
          <w:rFonts w:hint="default" w:ascii="宋体" w:hAnsi="宋体" w:eastAsia="宋体" w:cs="仿宋"/>
          <w:color w:val="000000"/>
          <w:highlight w:val="none"/>
          <w:lang w:val="ja-JP"/>
        </w:rPr>
      </w:pPr>
    </w:p>
    <w:p>
      <w:pPr>
        <w:pStyle w:val="29"/>
        <w:spacing w:line="360" w:lineRule="auto"/>
        <w:outlineLvl w:val="9"/>
        <w:rPr>
          <w:rFonts w:hint="default" w:ascii="宋体" w:hAnsi="宋体" w:eastAsia="宋体" w:cs="仿宋"/>
          <w:color w:val="000000"/>
          <w:highlight w:val="none"/>
          <w:lang w:val="ja-JP"/>
        </w:rPr>
      </w:pPr>
    </w:p>
    <w:p>
      <w:pPr>
        <w:pStyle w:val="29"/>
        <w:spacing w:line="360" w:lineRule="auto"/>
        <w:outlineLvl w:val="9"/>
        <w:rPr>
          <w:rFonts w:hint="default" w:ascii="宋体" w:hAnsi="宋体" w:eastAsia="宋体" w:cs="仿宋"/>
          <w:color w:val="000000"/>
          <w:highlight w:val="none"/>
          <w:lang w:val="ja-JP"/>
        </w:rPr>
      </w:pPr>
    </w:p>
    <w:p>
      <w:pPr>
        <w:pStyle w:val="30"/>
        <w:spacing w:line="360" w:lineRule="auto"/>
        <w:ind w:firstLine="2210" w:firstLineChars="850"/>
        <w:jc w:val="left"/>
        <w:outlineLvl w:val="9"/>
        <w:rPr>
          <w:rFonts w:hint="default" w:ascii="宋体" w:hAnsi="宋体" w:eastAsia="宋体" w:cs="仿宋"/>
          <w:i w:val="0"/>
          <w:iCs w:val="0"/>
          <w:color w:val="000000"/>
          <w:highlight w:val="none"/>
          <w:lang w:val="en-US" w:eastAsia="zh-CN"/>
        </w:rPr>
      </w:pPr>
      <w:bookmarkStart w:id="30" w:name="_Toc50406501"/>
      <w:bookmarkStart w:id="31" w:name="_Toc29057"/>
      <w:bookmarkStart w:id="32" w:name="_Toc27499"/>
      <w:bookmarkStart w:id="33" w:name="_Toc23671"/>
      <w:bookmarkStart w:id="34" w:name="_Toc22670"/>
      <w:bookmarkStart w:id="35" w:name="_Toc10798"/>
      <w:r>
        <w:rPr>
          <w:rFonts w:hint="eastAsia" w:ascii="宋体" w:hAnsi="宋体" w:eastAsia="宋体" w:cs="仿宋"/>
          <w:i w:val="0"/>
          <w:iCs w:val="0"/>
          <w:color w:val="000000"/>
          <w:highlight w:val="none"/>
          <w:lang w:val="ja-JP" w:eastAsia="ja-JP"/>
        </w:rPr>
        <w:t>甲方：</w:t>
      </w:r>
      <w:bookmarkEnd w:id="30"/>
      <w:bookmarkEnd w:id="31"/>
      <w:bookmarkEnd w:id="32"/>
      <w:bookmarkEnd w:id="33"/>
      <w:bookmarkEnd w:id="34"/>
      <w:bookmarkEnd w:id="35"/>
      <w:r>
        <w:rPr>
          <w:rFonts w:hint="eastAsia" w:ascii="宋体" w:hAnsi="宋体" w:eastAsia="宋体" w:cs="仿宋"/>
          <w:i w:val="0"/>
          <w:iCs w:val="0"/>
          <w:color w:val="000000"/>
          <w:highlight w:val="none"/>
          <w:lang w:val="en-US" w:eastAsia="zh-CN"/>
        </w:rPr>
        <w:t xml:space="preserve">                </w:t>
      </w:r>
    </w:p>
    <w:p>
      <w:pPr>
        <w:pStyle w:val="30"/>
        <w:spacing w:line="360" w:lineRule="auto"/>
        <w:ind w:firstLine="2210" w:firstLineChars="850"/>
        <w:jc w:val="left"/>
        <w:outlineLvl w:val="9"/>
        <w:rPr>
          <w:rFonts w:hint="default" w:ascii="宋体" w:hAnsi="宋体" w:eastAsia="宋体" w:cs="仿宋"/>
          <w:i w:val="0"/>
          <w:iCs w:val="0"/>
          <w:color w:val="000000"/>
          <w:highlight w:val="none"/>
          <w:lang w:val="en-US" w:eastAsia="zh-CN"/>
        </w:rPr>
      </w:pPr>
      <w:bookmarkStart w:id="36" w:name="_Toc50406502"/>
      <w:bookmarkStart w:id="37" w:name="_Toc21252"/>
      <w:bookmarkStart w:id="38" w:name="_Toc29224"/>
      <w:bookmarkStart w:id="39" w:name="_Toc20272"/>
      <w:bookmarkStart w:id="40" w:name="_Toc25292"/>
      <w:bookmarkStart w:id="41" w:name="_Toc349"/>
      <w:r>
        <w:rPr>
          <w:rFonts w:hint="eastAsia" w:ascii="宋体" w:hAnsi="宋体" w:eastAsia="宋体" w:cs="仿宋"/>
          <w:i w:val="0"/>
          <w:iCs w:val="0"/>
          <w:color w:val="000000"/>
          <w:highlight w:val="none"/>
          <w:lang w:val="en-US" w:eastAsia="zh-CN"/>
        </w:rPr>
        <w:t>乙方：</w:t>
      </w:r>
      <w:bookmarkEnd w:id="36"/>
      <w:bookmarkEnd w:id="37"/>
      <w:bookmarkEnd w:id="38"/>
      <w:bookmarkEnd w:id="39"/>
      <w:bookmarkEnd w:id="40"/>
      <w:bookmarkEnd w:id="41"/>
      <w:r>
        <w:rPr>
          <w:rFonts w:hint="eastAsia" w:ascii="宋体" w:hAnsi="宋体" w:eastAsia="宋体" w:cs="仿宋"/>
          <w:i w:val="0"/>
          <w:iCs w:val="0"/>
          <w:color w:val="000000"/>
          <w:highlight w:val="none"/>
          <w:lang w:val="en-US" w:eastAsia="zh-CN"/>
        </w:rPr>
        <w:t xml:space="preserve">                 </w:t>
      </w:r>
    </w:p>
    <w:p>
      <w:pPr>
        <w:pStyle w:val="30"/>
        <w:spacing w:line="360" w:lineRule="auto"/>
        <w:ind w:firstLine="2210" w:firstLineChars="850"/>
        <w:jc w:val="left"/>
        <w:outlineLvl w:val="9"/>
        <w:rPr>
          <w:rFonts w:ascii="宋体" w:hAnsi="宋体" w:eastAsia="宋体" w:cs="仿宋"/>
          <w:color w:val="000000"/>
          <w:highlight w:val="none"/>
        </w:rPr>
      </w:pPr>
      <w:r>
        <w:rPr>
          <w:rFonts w:hint="eastAsia" w:ascii="宋体" w:hAnsi="宋体" w:eastAsia="宋体" w:cs="仿宋"/>
          <w:i w:val="0"/>
          <w:iCs w:val="0"/>
          <w:color w:val="000000"/>
          <w:highlight w:val="none"/>
          <w:lang w:val="zh-CN"/>
        </w:rPr>
        <w:t>合同编号：</w:t>
      </w:r>
      <w:r>
        <w:rPr>
          <w:rFonts w:hint="eastAsia" w:ascii="宋体" w:hAnsi="宋体" w:eastAsia="宋体" w:cs="仿宋"/>
          <w:i w:val="0"/>
          <w:iCs w:val="0"/>
          <w:color w:val="000000"/>
          <w:highlight w:val="none"/>
        </w:rPr>
        <w:t xml:space="preserve"> </w:t>
      </w:r>
    </w:p>
    <w:p>
      <w:pPr>
        <w:pStyle w:val="30"/>
        <w:spacing w:line="360" w:lineRule="auto"/>
        <w:ind w:firstLine="2210" w:firstLineChars="850"/>
        <w:jc w:val="left"/>
        <w:outlineLvl w:val="9"/>
        <w:rPr>
          <w:rFonts w:ascii="宋体" w:hAnsi="宋体" w:eastAsia="宋体" w:cs="仿宋"/>
          <w:i w:val="0"/>
          <w:iCs w:val="0"/>
          <w:color w:val="000000"/>
          <w:highlight w:val="none"/>
        </w:rPr>
      </w:pPr>
      <w:r>
        <w:rPr>
          <w:rFonts w:hint="eastAsia" w:ascii="宋体" w:hAnsi="宋体" w:eastAsia="宋体" w:cs="仿宋"/>
          <w:i w:val="0"/>
          <w:iCs w:val="0"/>
          <w:color w:val="000000"/>
          <w:highlight w:val="none"/>
          <w:lang w:val="zh-CN"/>
        </w:rPr>
        <w:t>签订时间：</w:t>
      </w:r>
      <w:r>
        <w:rPr>
          <w:rFonts w:hint="eastAsia" w:ascii="宋体" w:hAnsi="宋体" w:eastAsia="宋体" w:cs="仿宋"/>
          <w:i w:val="0"/>
          <w:iCs w:val="0"/>
          <w:color w:val="000000"/>
          <w:highlight w:val="none"/>
        </w:rPr>
        <w:t xml:space="preserve">  年  月  日</w:t>
      </w:r>
    </w:p>
    <w:p>
      <w:pPr>
        <w:pStyle w:val="30"/>
        <w:spacing w:line="360" w:lineRule="auto"/>
        <w:ind w:firstLine="2210" w:firstLineChars="850"/>
        <w:jc w:val="left"/>
        <w:outlineLvl w:val="9"/>
        <w:rPr>
          <w:rFonts w:ascii="宋体" w:hAnsi="宋体" w:eastAsia="宋体" w:cs="仿宋"/>
          <w:i w:val="0"/>
          <w:iCs w:val="0"/>
          <w:color w:val="000000"/>
          <w:highlight w:val="none"/>
        </w:rPr>
      </w:pPr>
      <w:r>
        <w:rPr>
          <w:rFonts w:hint="eastAsia" w:ascii="宋体" w:hAnsi="宋体" w:eastAsia="宋体" w:cs="仿宋"/>
          <w:i w:val="0"/>
          <w:iCs w:val="0"/>
          <w:color w:val="000000"/>
          <w:highlight w:val="none"/>
        </w:rPr>
        <w:t>签订地点：四川省成都市</w:t>
      </w:r>
      <w:r>
        <w:rPr>
          <w:rFonts w:hint="eastAsia" w:ascii="宋体" w:hAnsi="宋体" w:eastAsia="宋体" w:cs="仿宋"/>
          <w:i w:val="0"/>
          <w:iCs w:val="0"/>
          <w:color w:val="000000"/>
          <w:highlight w:val="none"/>
          <w:lang w:val="en-US" w:eastAsia="zh-CN"/>
        </w:rPr>
        <w:t>青羊</w:t>
      </w:r>
      <w:r>
        <w:rPr>
          <w:rFonts w:hint="eastAsia" w:ascii="宋体" w:hAnsi="宋体" w:eastAsia="宋体" w:cs="仿宋"/>
          <w:i w:val="0"/>
          <w:iCs w:val="0"/>
          <w:color w:val="000000"/>
          <w:highlight w:val="none"/>
        </w:rPr>
        <w:t>区</w:t>
      </w:r>
    </w:p>
    <w:p>
      <w:pPr>
        <w:outlineLvl w:val="9"/>
        <w:rPr>
          <w:rFonts w:ascii="宋体" w:hAnsi="宋体" w:eastAsia="宋体" w:cs="仿宋"/>
          <w:color w:val="000000"/>
          <w:sz w:val="21"/>
          <w:szCs w:val="21"/>
          <w:highlight w:val="none"/>
        </w:rPr>
      </w:pPr>
      <w:r>
        <w:rPr>
          <w:rFonts w:ascii="宋体" w:hAnsi="宋体" w:eastAsia="宋体" w:cs="仿宋"/>
          <w:color w:val="000000"/>
          <w:sz w:val="21"/>
          <w:szCs w:val="21"/>
          <w:highlight w:val="none"/>
        </w:rPr>
        <w:br w:type="page"/>
      </w:r>
    </w:p>
    <w:p>
      <w:pPr>
        <w:keepNext w:val="0"/>
        <w:keepLines w:val="0"/>
        <w:pageBreakBefore w:val="0"/>
        <w:widowControl w:val="0"/>
        <w:wordWrap/>
        <w:overflowPunct/>
        <w:topLinePunct w:val="0"/>
        <w:bidi w:val="0"/>
        <w:spacing w:line="520" w:lineRule="exact"/>
        <w:ind w:firstLine="420" w:firstLineChars="200"/>
        <w:jc w:val="both"/>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根据《中华人民共和国民法典》及相关法律法规，为明确双方的权利和义务，在平等互利、诚实守信、自愿协商的基础上，就甲方向乙方采购</w:t>
      </w:r>
      <w:r>
        <w:rPr>
          <w:rFonts w:hint="eastAsia" w:ascii="仿宋_GB2312" w:hAnsi="仿宋_GB2312" w:cs="仿宋_GB2312"/>
          <w:kern w:val="2"/>
          <w:sz w:val="21"/>
          <w:szCs w:val="21"/>
          <w:highlight w:val="none"/>
          <w:lang w:val="en-US" w:eastAsia="zh-CN" w:bidi="ar-SA"/>
        </w:rPr>
        <w:t>钢材</w:t>
      </w:r>
      <w:r>
        <w:rPr>
          <w:rFonts w:hint="eastAsia" w:ascii="仿宋_GB2312" w:hAnsi="仿宋_GB2312" w:eastAsia="仿宋_GB2312" w:cs="仿宋_GB2312"/>
          <w:kern w:val="2"/>
          <w:sz w:val="21"/>
          <w:szCs w:val="21"/>
          <w:highlight w:val="none"/>
          <w:lang w:val="en-US" w:eastAsia="zh-CN" w:bidi="ar-SA"/>
        </w:rPr>
        <w:t>事宜达成本合同，以兹共同信守。</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20" w:lineRule="exact"/>
        <w:ind w:left="0" w:right="0" w:firstLine="458" w:firstLineChars="200"/>
        <w:jc w:val="both"/>
        <w:textAlignment w:val="baseline"/>
        <w:outlineLvl w:val="9"/>
        <w:rPr>
          <w:rFonts w:hint="eastAsia" w:ascii="仿宋_GB2312" w:hAnsi="仿宋_GB2312" w:eastAsia="仿宋_GB2312" w:cs="仿宋_GB2312"/>
          <w:b/>
          <w:bCs/>
          <w:spacing w:val="9"/>
          <w:sz w:val="21"/>
          <w:szCs w:val="21"/>
          <w:highlight w:val="none"/>
        </w:rPr>
      </w:pPr>
      <w:r>
        <w:rPr>
          <w:rFonts w:hint="eastAsia" w:ascii="仿宋_GB2312" w:hAnsi="仿宋_GB2312" w:eastAsia="仿宋_GB2312" w:cs="仿宋_GB2312"/>
          <w:b/>
          <w:bCs/>
          <w:spacing w:val="9"/>
          <w:sz w:val="21"/>
          <w:szCs w:val="21"/>
          <w:highlight w:val="none"/>
        </w:rPr>
        <w:t>产品名称、</w:t>
      </w:r>
      <w:r>
        <w:rPr>
          <w:rFonts w:hint="eastAsia" w:ascii="仿宋_GB2312" w:hAnsi="仿宋_GB2312" w:eastAsia="仿宋_GB2312" w:cs="仿宋_GB2312"/>
          <w:b/>
          <w:bCs/>
          <w:spacing w:val="9"/>
          <w:sz w:val="21"/>
          <w:szCs w:val="21"/>
          <w:highlight w:val="none"/>
          <w:lang w:val="en-US" w:eastAsia="zh-CN"/>
        </w:rPr>
        <w:t>品牌、</w:t>
      </w:r>
      <w:r>
        <w:rPr>
          <w:rFonts w:hint="eastAsia" w:ascii="仿宋_GB2312" w:hAnsi="仿宋_GB2312" w:eastAsia="仿宋_GB2312" w:cs="仿宋_GB2312"/>
          <w:b/>
          <w:bCs/>
          <w:spacing w:val="9"/>
          <w:sz w:val="21"/>
          <w:szCs w:val="21"/>
          <w:highlight w:val="none"/>
        </w:rPr>
        <w:t>材质、规格、数量、单价(人民币)</w:t>
      </w:r>
    </w:p>
    <w:tbl>
      <w:tblPr>
        <w:tblStyle w:val="21"/>
        <w:tblW w:w="102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7"/>
        <w:gridCol w:w="1385"/>
        <w:gridCol w:w="1299"/>
        <w:gridCol w:w="775"/>
        <w:gridCol w:w="1012"/>
        <w:gridCol w:w="1175"/>
        <w:gridCol w:w="1175"/>
        <w:gridCol w:w="1175"/>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物资名称</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221" w:firstLineChars="100"/>
              <w:jc w:val="both"/>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规格型号</w:t>
            </w:r>
          </w:p>
        </w:tc>
        <w:tc>
          <w:tcPr>
            <w:tcW w:w="129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221" w:leftChars="0" w:right="0" w:hanging="221" w:hangingChars="100"/>
              <w:jc w:val="both"/>
              <w:textAlignment w:val="center"/>
              <w:rPr>
                <w:rFonts w:hint="default"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暂定数量（吨）</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center"/>
              <w:rPr>
                <w:rFonts w:hint="eastAsia" w:ascii="仿宋" w:hAnsi="仿宋" w:eastAsia="仿宋" w:cs="仿宋"/>
                <w:b/>
                <w:bCs/>
                <w:i w:val="0"/>
                <w:iCs w:val="0"/>
                <w:color w:val="auto"/>
                <w:sz w:val="22"/>
                <w:szCs w:val="22"/>
                <w:highlight w:val="none"/>
                <w:u w:val="none"/>
                <w:lang w:val="en-US"/>
              </w:rPr>
            </w:pPr>
            <w:r>
              <w:rPr>
                <w:rFonts w:hint="eastAsia" w:ascii="仿宋" w:hAnsi="仿宋" w:eastAsia="仿宋" w:cs="仿宋"/>
                <w:b/>
                <w:bCs/>
                <w:i w:val="0"/>
                <w:iCs w:val="0"/>
                <w:color w:val="auto"/>
                <w:kern w:val="0"/>
                <w:sz w:val="22"/>
                <w:szCs w:val="22"/>
                <w:highlight w:val="none"/>
                <w:u w:val="none"/>
                <w:lang w:val="en-US" w:eastAsia="zh-CN" w:bidi="ar"/>
              </w:rPr>
              <w:t>使用项目</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暂定网价（含税基准价）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（元/吨）</w:t>
            </w:r>
          </w:p>
        </w:tc>
        <w:tc>
          <w:tcPr>
            <w:tcW w:w="11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含税固定价（元/吨）</w:t>
            </w:r>
          </w:p>
        </w:tc>
        <w:tc>
          <w:tcPr>
            <w:tcW w:w="11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含税到场价（元/吨）</w:t>
            </w:r>
          </w:p>
        </w:tc>
        <w:tc>
          <w:tcPr>
            <w:tcW w:w="11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center"/>
              <w:rPr>
                <w:rFonts w:hint="default"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含税到场合价（元）</w:t>
            </w:r>
          </w:p>
        </w:tc>
        <w:tc>
          <w:tcPr>
            <w:tcW w:w="11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1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38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75"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center"/>
              <w:rPr>
                <w:rFonts w:hint="eastAsia" w:ascii="仿宋" w:hAnsi="仿宋" w:eastAsia="仿宋" w:cs="仿宋"/>
                <w:i w:val="0"/>
                <w:iCs w:val="0"/>
                <w:color w:val="auto"/>
                <w:sz w:val="20"/>
                <w:szCs w:val="20"/>
                <w:highlight w:val="none"/>
                <w:u w:val="none"/>
                <w:lang w:val="en-US"/>
              </w:rPr>
            </w:pPr>
          </w:p>
        </w:tc>
        <w:tc>
          <w:tcPr>
            <w:tcW w:w="1012"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rPr>
                <w:rFonts w:hint="default" w:ascii="仿宋" w:hAnsi="仿宋" w:eastAsia="仿宋" w:cs="仿宋"/>
                <w:i w:val="0"/>
                <w:iCs w:val="0"/>
                <w:color w:val="auto"/>
                <w:sz w:val="20"/>
                <w:szCs w:val="20"/>
                <w:highlight w:val="none"/>
                <w:u w:val="none"/>
                <w:lang w:val="en-US" w:eastAsia="zh-CN"/>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b/>
                <w:bCs/>
                <w:i w:val="0"/>
                <w:iCs w:val="0"/>
                <w:color w:val="auto"/>
                <w:sz w:val="20"/>
                <w:szCs w:val="20"/>
                <w:highlight w:val="none"/>
                <w:u w:val="none"/>
                <w:lang w:val="en-US" w:eastAsia="zh-CN"/>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sz w:val="20"/>
                <w:szCs w:val="20"/>
                <w:highlight w:val="none"/>
                <w:u w:val="none"/>
                <w:lang w:val="en-US" w:eastAsia="zh-CN"/>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sz w:val="20"/>
                <w:szCs w:val="20"/>
                <w:highlight w:val="none"/>
                <w:u w:val="none"/>
                <w:lang w:val="en-US" w:eastAsia="zh-CN"/>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1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220" w:leftChars="0" w:right="0" w:hanging="220" w:hangingChars="10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38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75"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012" w:type="dxa"/>
            <w:vMerge w:val="continue"/>
            <w:tcBorders>
              <w:left w:val="single" w:color="000000"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iCs w:val="0"/>
                <w:color w:val="auto"/>
                <w:kern w:val="0"/>
                <w:sz w:val="20"/>
                <w:szCs w:val="20"/>
                <w:highlight w:val="none"/>
                <w:u w:val="none"/>
                <w:lang w:val="en-US" w:eastAsia="zh-CN" w:bidi="ar"/>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0"/>
                <w:szCs w:val="20"/>
                <w:highlight w:val="none"/>
                <w:u w:val="none"/>
                <w:lang w:eastAsia="zh-CN"/>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0"/>
                <w:szCs w:val="20"/>
                <w:highlight w:val="none"/>
                <w:u w:val="none"/>
                <w:lang w:eastAsia="zh-CN"/>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iCs w:val="0"/>
                <w:color w:val="auto"/>
                <w:sz w:val="20"/>
                <w:szCs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1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38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75"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012" w:type="dxa"/>
            <w:vMerge w:val="continue"/>
            <w:tcBorders>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iCs w:val="0"/>
                <w:color w:val="auto"/>
                <w:kern w:val="0"/>
                <w:sz w:val="20"/>
                <w:szCs w:val="20"/>
                <w:highlight w:val="none"/>
                <w:u w:val="none"/>
                <w:lang w:val="en-US" w:eastAsia="zh-CN" w:bidi="ar"/>
              </w:rPr>
            </w:pPr>
          </w:p>
        </w:tc>
        <w:tc>
          <w:tcPr>
            <w:tcW w:w="117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0"/>
                <w:szCs w:val="20"/>
                <w:highlight w:val="none"/>
                <w:u w:val="none"/>
                <w:lang w:eastAsia="zh-CN"/>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0"/>
                <w:szCs w:val="20"/>
                <w:highlight w:val="none"/>
                <w:u w:val="none"/>
                <w:lang w:eastAsia="zh-CN"/>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iCs w:val="0"/>
                <w:color w:val="auto"/>
                <w:sz w:val="20"/>
                <w:szCs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11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220" w:firstLineChars="10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38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75"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012" w:type="dxa"/>
            <w:vMerge w:val="continue"/>
            <w:tcBorders>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iCs w:val="0"/>
                <w:color w:val="auto"/>
                <w:kern w:val="0"/>
                <w:sz w:val="20"/>
                <w:szCs w:val="20"/>
                <w:highlight w:val="none"/>
                <w:u w:val="none"/>
                <w:lang w:val="en-US" w:eastAsia="zh-CN" w:bidi="ar"/>
              </w:rPr>
            </w:pPr>
          </w:p>
        </w:tc>
        <w:tc>
          <w:tcPr>
            <w:tcW w:w="117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p>
        </w:tc>
        <w:tc>
          <w:tcPr>
            <w:tcW w:w="11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0"/>
                <w:szCs w:val="20"/>
                <w:highlight w:val="none"/>
                <w:u w:val="none"/>
                <w:lang w:eastAsia="zh-CN"/>
              </w:rPr>
            </w:pPr>
          </w:p>
        </w:tc>
        <w:tc>
          <w:tcPr>
            <w:tcW w:w="11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0"/>
                <w:szCs w:val="20"/>
                <w:highlight w:val="none"/>
                <w:u w:val="none"/>
                <w:lang w:eastAsia="zh-CN"/>
              </w:rPr>
            </w:pPr>
          </w:p>
        </w:tc>
        <w:tc>
          <w:tcPr>
            <w:tcW w:w="11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iCs w:val="0"/>
                <w:color w:val="auto"/>
                <w:sz w:val="20"/>
                <w:szCs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1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220" w:firstLineChars="100"/>
              <w:jc w:val="both"/>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38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35" w:leftChars="136" w:right="0" w:firstLine="0" w:firstLineChars="0"/>
              <w:jc w:val="both"/>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75"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012" w:type="dxa"/>
            <w:vMerge w:val="continue"/>
            <w:tcBorders>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iCs w:val="0"/>
                <w:color w:val="auto"/>
                <w:kern w:val="0"/>
                <w:sz w:val="20"/>
                <w:szCs w:val="20"/>
                <w:highlight w:val="none"/>
                <w:u w:val="none"/>
                <w:lang w:val="en-US" w:eastAsia="zh-CN" w:bidi="ar"/>
              </w:rPr>
            </w:pPr>
          </w:p>
        </w:tc>
        <w:tc>
          <w:tcPr>
            <w:tcW w:w="117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p>
        </w:tc>
        <w:tc>
          <w:tcPr>
            <w:tcW w:w="117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0"/>
                <w:szCs w:val="20"/>
                <w:highlight w:val="none"/>
                <w:u w:val="none"/>
                <w:lang w:eastAsia="zh-CN"/>
              </w:rPr>
            </w:pPr>
          </w:p>
        </w:tc>
        <w:tc>
          <w:tcPr>
            <w:tcW w:w="117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0"/>
                <w:szCs w:val="20"/>
                <w:highlight w:val="none"/>
                <w:u w:val="none"/>
                <w:lang w:eastAsia="zh-CN"/>
              </w:rPr>
            </w:pPr>
          </w:p>
        </w:tc>
        <w:tc>
          <w:tcPr>
            <w:tcW w:w="1175" w:type="dxa"/>
            <w:tcBorders>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iCs w:val="0"/>
                <w:color w:val="auto"/>
                <w:sz w:val="20"/>
                <w:szCs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1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38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7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012"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iCs w:val="0"/>
                <w:color w:val="auto"/>
                <w:kern w:val="0"/>
                <w:sz w:val="20"/>
                <w:szCs w:val="20"/>
                <w:highlight w:val="none"/>
                <w:u w:val="none"/>
                <w:lang w:val="en-US" w:eastAsia="zh-CN" w:bidi="ar"/>
              </w:rPr>
            </w:pPr>
          </w:p>
        </w:tc>
        <w:tc>
          <w:tcPr>
            <w:tcW w:w="1175"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p>
        </w:tc>
        <w:tc>
          <w:tcPr>
            <w:tcW w:w="1175"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0"/>
                <w:szCs w:val="20"/>
                <w:highlight w:val="none"/>
                <w:u w:val="none"/>
                <w:lang w:eastAsia="zh-CN"/>
              </w:rPr>
            </w:pPr>
          </w:p>
        </w:tc>
        <w:tc>
          <w:tcPr>
            <w:tcW w:w="1175"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0"/>
                <w:szCs w:val="20"/>
                <w:highlight w:val="none"/>
                <w:u w:val="none"/>
                <w:lang w:eastAsia="zh-CN"/>
              </w:rPr>
            </w:pPr>
          </w:p>
        </w:tc>
        <w:tc>
          <w:tcPr>
            <w:tcW w:w="1175" w:type="dxa"/>
            <w:tcBorders>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iCs w:val="0"/>
                <w:color w:val="auto"/>
                <w:sz w:val="20"/>
                <w:szCs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合计</w:t>
            </w: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 w:hAnsi="仿宋" w:eastAsia="仿宋" w:cs="仿宋"/>
                <w:i w:val="0"/>
                <w:iCs w:val="0"/>
                <w:color w:val="auto"/>
                <w:sz w:val="20"/>
                <w:szCs w:val="20"/>
                <w:highlight w:val="none"/>
                <w:u w:val="none"/>
                <w:lang w:val="en-US" w:eastAsia="zh-CN"/>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0"/>
                <w:szCs w:val="20"/>
                <w:highlight w:val="none"/>
                <w:u w:val="none"/>
                <w:lang w:eastAsia="zh-CN"/>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i w:val="0"/>
                <w:iCs w:val="0"/>
                <w:color w:val="auto"/>
                <w:sz w:val="20"/>
                <w:szCs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288"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kern w:val="0"/>
                <w:sz w:val="20"/>
                <w:szCs w:val="20"/>
                <w:highlight w:val="none"/>
                <w:u w:val="none"/>
                <w:lang w:val="en-US" w:eastAsia="zh-CN" w:bidi="ar"/>
              </w:rPr>
              <w:t>1、合同期内，钢材每月结算价格实行</w:t>
            </w:r>
            <w:r>
              <w:rPr>
                <w:rStyle w:val="48"/>
                <w:rFonts w:ascii="仿宋" w:hAnsi="仿宋" w:eastAsia="仿宋" w:cs="仿宋"/>
                <w:color w:val="auto"/>
                <w:highlight w:val="none"/>
                <w:u w:val="none"/>
                <w:lang w:val="en-US" w:eastAsia="zh-CN" w:bidi="ar"/>
              </w:rPr>
              <w:t>浮动结算；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288"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kern w:val="0"/>
                <w:sz w:val="20"/>
                <w:szCs w:val="20"/>
                <w:highlight w:val="none"/>
                <w:u w:val="none"/>
                <w:lang w:val="en-US" w:eastAsia="zh-CN" w:bidi="ar"/>
              </w:rPr>
              <w:t>2、材料结算单价（含税到场价）=含税其准价+含税固定价；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288"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color w:val="auto"/>
                <w:spacing w:val="0"/>
                <w:kern w:val="0"/>
                <w:sz w:val="20"/>
                <w:szCs w:val="20"/>
                <w:highlight w:val="none"/>
                <w:u w:val="none"/>
                <w:lang w:val="en-US" w:eastAsia="zh-CN" w:bidi="ar"/>
              </w:rPr>
              <w:t>3</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color w:val="auto"/>
                <w:spacing w:val="0"/>
                <w:kern w:val="0"/>
                <w:sz w:val="20"/>
                <w:szCs w:val="20"/>
                <w:highlight w:val="none"/>
                <w:u w:val="none"/>
                <w:lang w:bidi="ar"/>
              </w:rPr>
              <w:t>税率</w:t>
            </w:r>
            <w:r>
              <w:rPr>
                <w:rFonts w:hint="eastAsia" w:ascii="仿宋" w:hAnsi="仿宋" w:eastAsia="仿宋" w:cs="仿宋"/>
                <w:color w:val="auto"/>
                <w:spacing w:val="0"/>
                <w:kern w:val="0"/>
                <w:sz w:val="20"/>
                <w:szCs w:val="20"/>
                <w:highlight w:val="none"/>
                <w:u w:val="none"/>
                <w:lang w:eastAsia="zh-CN" w:bidi="ar"/>
              </w:rPr>
              <w:t>：</w:t>
            </w:r>
            <w:r>
              <w:rPr>
                <w:rFonts w:hint="eastAsia" w:ascii="仿宋" w:hAnsi="仿宋" w:eastAsia="仿宋" w:cs="仿宋"/>
                <w:color w:val="auto"/>
                <w:spacing w:val="0"/>
                <w:kern w:val="0"/>
                <w:sz w:val="20"/>
                <w:szCs w:val="20"/>
                <w:highlight w:val="none"/>
                <w:u w:val="none"/>
                <w:lang w:val="en-US" w:eastAsia="zh-CN" w:bidi="ar"/>
              </w:rPr>
              <w:t>13%，</w:t>
            </w:r>
            <w:r>
              <w:rPr>
                <w:rFonts w:hint="eastAsia" w:ascii="仿宋" w:hAnsi="仿宋" w:eastAsia="仿宋" w:cs="仿宋"/>
                <w:color w:val="auto"/>
                <w:spacing w:val="0"/>
                <w:kern w:val="0"/>
                <w:sz w:val="20"/>
                <w:szCs w:val="20"/>
                <w:highlight w:val="none"/>
                <w:u w:val="none"/>
                <w:lang w:bidi="ar"/>
              </w:rPr>
              <w:t>如果国家对增值税率做出调整，按调整后的税率执行</w:t>
            </w:r>
            <w:r>
              <w:rPr>
                <w:rFonts w:hint="eastAsia" w:ascii="仿宋" w:hAnsi="仿宋" w:eastAsia="仿宋" w:cs="仿宋"/>
                <w:i w:val="0"/>
                <w:iCs w:val="0"/>
                <w:color w:val="auto"/>
                <w:kern w:val="0"/>
                <w:sz w:val="20"/>
                <w:szCs w:val="20"/>
                <w:highlight w:val="none"/>
                <w:u w:val="none"/>
                <w:lang w:val="en-US" w:eastAsia="zh-CN" w:bidi="ar"/>
              </w:rPr>
              <w:t>，合同含税总价：</w:t>
            </w:r>
            <w:r>
              <w:rPr>
                <w:rFonts w:hint="eastAsia" w:ascii="仿宋" w:hAnsi="仿宋" w:eastAsia="仿宋" w:cs="仿宋"/>
                <w:i w:val="0"/>
                <w:iCs w:val="0"/>
                <w:color w:val="auto"/>
                <w:kern w:val="0"/>
                <w:sz w:val="20"/>
                <w:szCs w:val="20"/>
                <w:highlight w:val="none"/>
                <w:u w:val="singl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元，税额</w:t>
            </w:r>
            <w:r>
              <w:rPr>
                <w:rFonts w:hint="eastAsia" w:ascii="仿宋" w:hAnsi="仿宋" w:eastAsia="仿宋" w:cs="仿宋"/>
                <w:i w:val="0"/>
                <w:iCs w:val="0"/>
                <w:color w:val="auto"/>
                <w:kern w:val="0"/>
                <w:sz w:val="20"/>
                <w:szCs w:val="20"/>
                <w:highlight w:val="none"/>
                <w:u w:val="singl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元，不含税总价</w:t>
            </w:r>
            <w:r>
              <w:rPr>
                <w:rFonts w:hint="eastAsia" w:ascii="仿宋" w:hAnsi="仿宋" w:eastAsia="仿宋" w:cs="仿宋"/>
                <w:i w:val="0"/>
                <w:iCs w:val="0"/>
                <w:color w:val="auto"/>
                <w:kern w:val="0"/>
                <w:sz w:val="20"/>
                <w:szCs w:val="20"/>
                <w:highlight w:val="none"/>
                <w:u w:val="single"/>
                <w:lang w:val="en-US" w:eastAsia="zh-CN" w:bidi="ar"/>
              </w:rPr>
              <w:t xml:space="preserve">       </w:t>
            </w:r>
            <w:r>
              <w:rPr>
                <w:rFonts w:hint="eastAsia" w:ascii="仿宋" w:hAnsi="仿宋" w:eastAsia="仿宋" w:cs="仿宋"/>
                <w:i w:val="0"/>
                <w:iCs w:val="0"/>
                <w:color w:val="auto"/>
                <w:kern w:val="0"/>
                <w:sz w:val="20"/>
                <w:szCs w:val="20"/>
                <w:highlight w:val="none"/>
                <w:u w:val="none"/>
                <w:lang w:val="en-US" w:eastAsia="zh-CN" w:bidi="ar"/>
              </w:rPr>
              <w:t>元；</w:t>
            </w:r>
          </w:p>
        </w:tc>
      </w:tr>
    </w:tbl>
    <w:p>
      <w:pPr>
        <w:pStyle w:val="3"/>
        <w:numPr>
          <w:ilvl w:val="0"/>
          <w:numId w:val="0"/>
        </w:numPr>
        <w:jc w:val="both"/>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注：1.结算价=基准价+固定费用。</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420" w:firstLineChars="200"/>
        <w:jc w:val="both"/>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cs="仿宋_GB2312"/>
          <w:kern w:val="2"/>
          <w:sz w:val="21"/>
          <w:szCs w:val="21"/>
          <w:highlight w:val="none"/>
          <w:lang w:val="en-US" w:eastAsia="zh-CN" w:bidi="ar-SA"/>
        </w:rPr>
        <w:t>含税</w:t>
      </w:r>
      <w:r>
        <w:rPr>
          <w:rFonts w:hint="eastAsia" w:ascii="仿宋_GB2312" w:hAnsi="仿宋_GB2312" w:eastAsia="仿宋_GB2312" w:cs="仿宋_GB2312"/>
          <w:kern w:val="2"/>
          <w:sz w:val="21"/>
          <w:szCs w:val="21"/>
          <w:highlight w:val="none"/>
          <w:lang w:val="en-US" w:eastAsia="zh-CN" w:bidi="ar-SA"/>
        </w:rPr>
        <w:t>基准价：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jc w:val="both"/>
        <w:textAlignment w:val="auto"/>
        <w:outlineLvl w:val="9"/>
        <w:rPr>
          <w:rFonts w:hint="eastAsia" w:ascii="仿宋_GB2312" w:hAnsi="仿宋_GB2312" w:cs="仿宋_GB2312"/>
          <w:kern w:val="2"/>
          <w:sz w:val="21"/>
          <w:szCs w:val="21"/>
          <w:highlight w:val="none"/>
          <w:lang w:val="en-US" w:eastAsia="zh-CN" w:bidi="ar-SA"/>
        </w:rPr>
      </w:pPr>
      <w:r>
        <w:rPr>
          <w:rFonts w:hint="default" w:ascii="仿宋_GB2312" w:hAnsi="仿宋_GB2312" w:cs="仿宋_GB2312"/>
          <w:kern w:val="2"/>
          <w:sz w:val="21"/>
          <w:szCs w:val="21"/>
          <w:highlight w:val="none"/>
          <w:lang w:eastAsia="zh-CN" w:bidi="ar-SA"/>
        </w:rPr>
        <w:t>2.1达州绕城高速西段RX1项目</w:t>
      </w:r>
      <w:r>
        <w:rPr>
          <w:rFonts w:hint="eastAsia" w:ascii="仿宋_GB2312" w:hAnsi="仿宋_GB2312" w:cs="仿宋_GB2312"/>
          <w:kern w:val="2"/>
          <w:sz w:val="21"/>
          <w:szCs w:val="21"/>
          <w:highlight w:val="none"/>
          <w:lang w:eastAsia="zh-CN" w:bidi="ar-SA"/>
        </w:rPr>
        <w:t>基准价</w:t>
      </w:r>
      <w:r>
        <w:rPr>
          <w:rFonts w:hint="default" w:ascii="仿宋_GB2312" w:hAnsi="仿宋_GB2312" w:cs="仿宋_GB2312"/>
          <w:kern w:val="2"/>
          <w:sz w:val="21"/>
          <w:szCs w:val="21"/>
          <w:highlight w:val="none"/>
          <w:lang w:eastAsia="zh-CN" w:bidi="ar-SA"/>
        </w:rPr>
        <w:t>：</w:t>
      </w:r>
      <w:r>
        <w:rPr>
          <w:rFonts w:hint="eastAsia" w:ascii="仿宋_GB2312" w:hAnsi="仿宋_GB2312" w:cs="仿宋_GB2312"/>
          <w:kern w:val="2"/>
          <w:sz w:val="21"/>
          <w:szCs w:val="21"/>
          <w:highlight w:val="none"/>
          <w:lang w:val="en-US" w:eastAsia="zh-CN" w:bidi="ar-SA"/>
        </w:rPr>
        <w:t>为到货日“我的钢铁网”（https://www.mysteel.com/）发布的“成都”市场相对应规格型号的价格；</w:t>
      </w:r>
      <w:r>
        <w:rPr>
          <w:rFonts w:hint="default" w:ascii="仿宋_GB2312" w:hAnsi="仿宋_GB2312" w:cs="仿宋_GB2312"/>
          <w:kern w:val="2"/>
          <w:sz w:val="21"/>
          <w:szCs w:val="21"/>
          <w:highlight w:val="none"/>
          <w:lang w:eastAsia="zh-CN" w:bidi="ar-SA"/>
        </w:rPr>
        <w:t>工字钢14对应山西晋南网价，16对应唐山弘泰网价，18、20对应昆钢网价，钢板对应重钢网价，无缝钢管102*6</w:t>
      </w:r>
      <w:r>
        <w:rPr>
          <w:rFonts w:hint="eastAsia" w:ascii="仿宋_GB2312" w:hAnsi="仿宋_GB2312" w:cs="仿宋_GB2312"/>
          <w:kern w:val="2"/>
          <w:sz w:val="21"/>
          <w:szCs w:val="21"/>
          <w:highlight w:val="none"/>
          <w:lang w:val="en-US" w:eastAsia="zh-CN" w:bidi="ar-SA"/>
        </w:rPr>
        <w:t>对应108*6网价，</w:t>
      </w:r>
      <w:r>
        <w:rPr>
          <w:rFonts w:hint="default" w:ascii="仿宋_GB2312" w:hAnsi="仿宋_GB2312" w:cs="仿宋_GB2312"/>
          <w:kern w:val="2"/>
          <w:sz w:val="21"/>
          <w:szCs w:val="21"/>
          <w:highlight w:val="none"/>
          <w:lang w:eastAsia="zh-CN" w:bidi="ar-SA"/>
        </w:rPr>
        <w:t>108*6对应中宝管业网价，140*8对应临沂金正阳133*5网价，角钢50*32*3对应安钢50*50*5的网价，100*100*8对应安钢100*100*10的网价，75*75*7对应安钢75*75*8的网价。如一天有多次网价，取当天最低价，如有备注，看备注。</w:t>
      </w:r>
      <w:r>
        <w:rPr>
          <w:rFonts w:hint="eastAsia" w:ascii="仿宋_GB2312" w:hAnsi="仿宋_GB2312" w:cs="仿宋_GB2312"/>
          <w:kern w:val="2"/>
          <w:sz w:val="21"/>
          <w:szCs w:val="21"/>
          <w:highlight w:val="none"/>
          <w:lang w:val="en-US" w:eastAsia="zh-CN" w:bidi="ar-SA"/>
        </w:rPr>
        <w:t>节假日无网价的，参照前一工作日网价。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jc w:val="both"/>
        <w:textAlignment w:val="auto"/>
        <w:outlineLvl w:val="9"/>
        <w:rPr>
          <w:rFonts w:hint="default" w:ascii="仿宋_GB2312" w:hAnsi="仿宋_GB2312" w:cs="仿宋_GB2312"/>
          <w:kern w:val="2"/>
          <w:sz w:val="21"/>
          <w:szCs w:val="21"/>
          <w:highlight w:val="none"/>
          <w:lang w:eastAsia="zh-CN" w:bidi="ar-SA"/>
        </w:rPr>
      </w:pPr>
      <w:r>
        <w:rPr>
          <w:rFonts w:hint="default" w:ascii="仿宋_GB2312" w:hAnsi="仿宋_GB2312" w:cs="仿宋_GB2312"/>
          <w:kern w:val="2"/>
          <w:sz w:val="21"/>
          <w:szCs w:val="21"/>
          <w:highlight w:val="none"/>
          <w:lang w:eastAsia="zh-CN" w:bidi="ar-SA"/>
        </w:rPr>
        <w:t>2.2</w:t>
      </w:r>
      <w:r>
        <w:rPr>
          <w:rFonts w:hint="default" w:ascii="仿宋_GB2312" w:hAnsi="仿宋_GB2312" w:cs="仿宋_GB2312"/>
          <w:kern w:val="2"/>
          <w:sz w:val="21"/>
          <w:szCs w:val="21"/>
          <w:highlight w:val="none"/>
          <w:lang w:val="en-US" w:eastAsia="zh-CN" w:bidi="ar-SA"/>
        </w:rPr>
        <w:t>达州绕城高速西段</w:t>
      </w:r>
      <w:r>
        <w:rPr>
          <w:rFonts w:hint="eastAsia" w:ascii="仿宋_GB2312" w:hAnsi="仿宋_GB2312" w:cs="仿宋_GB2312"/>
          <w:kern w:val="2"/>
          <w:sz w:val="21"/>
          <w:szCs w:val="21"/>
          <w:highlight w:val="none"/>
          <w:lang w:val="en-US" w:eastAsia="zh-CN" w:bidi="ar-SA"/>
        </w:rPr>
        <w:t>RX2</w:t>
      </w:r>
      <w:r>
        <w:rPr>
          <w:rFonts w:hint="default" w:ascii="仿宋_GB2312" w:hAnsi="仿宋_GB2312" w:cs="仿宋_GB2312"/>
          <w:kern w:val="2"/>
          <w:sz w:val="21"/>
          <w:szCs w:val="21"/>
          <w:highlight w:val="none"/>
          <w:lang w:val="en-US" w:eastAsia="zh-CN" w:bidi="ar-SA"/>
        </w:rPr>
        <w:t>项目</w:t>
      </w:r>
      <w:r>
        <w:rPr>
          <w:rFonts w:hint="eastAsia" w:ascii="仿宋_GB2312" w:hAnsi="仿宋_GB2312" w:cs="仿宋_GB2312"/>
          <w:kern w:val="2"/>
          <w:sz w:val="21"/>
          <w:szCs w:val="21"/>
          <w:highlight w:val="none"/>
          <w:lang w:val="en-US" w:eastAsia="zh-CN" w:bidi="ar-SA"/>
        </w:rPr>
        <w:t>基准价：在到货当日“我的钢铁网”成都区域价格行情中达钢对应的钢筋网价、昆钢、日照对应的工字钢网价、传洋对应的角钢网价、唐山欧联、日照对应的槽钢网价、兴华、马钢对应的H型钢网价、重钢、攀钢对应的板材网价、华岐对应的焊管网价、攀成钢对应的流体管网价、四川振鸿对应的镀锌管网价（备注栏有特别说明的以备注栏价格结算）。如到货当日网上有多次价格公布，则以当日公布价格平均价为准，如到货当日是节假日网上未公布价格，则按前一天有网上公布价格为准。如所送钢材无相同厂家对应规格网价时，指定以对应型号钢筋、型材、板材或管材各厂家中最低报价作为参考网价；无网价的圆钢以对应规格螺纹钢网价为基准。</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both"/>
        <w:textAlignment w:val="auto"/>
        <w:outlineLvl w:val="9"/>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cs="仿宋_GB2312"/>
          <w:kern w:val="2"/>
          <w:sz w:val="21"/>
          <w:szCs w:val="21"/>
          <w:highlight w:val="none"/>
          <w:lang w:val="en-US" w:eastAsia="zh-CN" w:bidi="ar-SA"/>
        </w:rPr>
        <w:t>因项目业主要求、市场行情、政策等客观因素发生变化需要调整基准价定价方式的（如参照网价执行条件），甲方将根据基准价调整政策与乙方另行协商，确定采购单价。</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420" w:firstLineChars="200"/>
        <w:jc w:val="both"/>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固定费用：包含但不限于检测费、装卸费（不含工地卸车费）、运杂费、税金、利润、资金成本、文本工具材料费等一切费用和所有合同明示或暗示的所有责任、义务和风险的综合单价。固定费用是综合到场结算单价中除基准价外的其它费用，除非上述定价方式改变双方另行协商采购单价，否则固定费用在整个合同执行过程中不作调整，仅随国家增值税税率调整而作相应调整。</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both"/>
        <w:textAlignment w:val="auto"/>
        <w:outlineLvl w:val="9"/>
        <w:rPr>
          <w:rFonts w:hint="eastAsia" w:ascii="仿宋_GB2312" w:hAnsi="仿宋_GB2312" w:eastAsia="仿宋_GB2312" w:cs="仿宋_GB2312"/>
          <w:b/>
          <w:bCs/>
          <w:spacing w:val="9"/>
          <w:sz w:val="26"/>
          <w:szCs w:val="26"/>
          <w:highlight w:val="none"/>
        </w:rPr>
      </w:pPr>
      <w:r>
        <w:rPr>
          <w:rFonts w:hint="eastAsia" w:ascii="仿宋_GB2312" w:hAnsi="仿宋_GB2312" w:cs="仿宋_GB2312"/>
          <w:kern w:val="2"/>
          <w:sz w:val="21"/>
          <w:szCs w:val="21"/>
          <w:highlight w:val="none"/>
          <w:lang w:val="en-US" w:eastAsia="zh-CN" w:bidi="ar-SA"/>
        </w:rPr>
        <w:t>4</w:t>
      </w:r>
      <w:r>
        <w:rPr>
          <w:rFonts w:hint="eastAsia" w:ascii="仿宋_GB2312" w:hAnsi="仿宋_GB2312" w:eastAsia="仿宋_GB2312" w:cs="仿宋_GB2312"/>
          <w:kern w:val="2"/>
          <w:sz w:val="21"/>
          <w:szCs w:val="21"/>
          <w:highlight w:val="none"/>
          <w:lang w:val="en-US" w:eastAsia="zh-CN" w:bidi="ar-SA"/>
        </w:rPr>
        <w:t>.表中规格及数量为</w:t>
      </w:r>
      <w:r>
        <w:rPr>
          <w:rFonts w:hint="eastAsia" w:ascii="仿宋_GB2312" w:hAnsi="仿宋_GB2312" w:cs="仿宋_GB2312"/>
          <w:kern w:val="2"/>
          <w:sz w:val="21"/>
          <w:szCs w:val="21"/>
          <w:highlight w:val="none"/>
          <w:lang w:val="en-US" w:eastAsia="zh-CN" w:bidi="ar-SA"/>
        </w:rPr>
        <w:t>暂估</w:t>
      </w:r>
      <w:r>
        <w:rPr>
          <w:rFonts w:hint="eastAsia" w:ascii="仿宋_GB2312" w:hAnsi="仿宋_GB2312" w:eastAsia="仿宋_GB2312" w:cs="仿宋_GB2312"/>
          <w:kern w:val="2"/>
          <w:sz w:val="21"/>
          <w:szCs w:val="21"/>
          <w:highlight w:val="none"/>
          <w:lang w:val="en-US" w:eastAsia="zh-CN" w:bidi="ar-SA"/>
        </w:rPr>
        <w:t>，由于施工或设计变更将会出现增减，</w:t>
      </w:r>
      <w:r>
        <w:rPr>
          <w:rFonts w:hint="eastAsia" w:ascii="仿宋_GB2312" w:hAnsi="仿宋_GB2312" w:cs="仿宋_GB2312"/>
          <w:kern w:val="2"/>
          <w:sz w:val="21"/>
          <w:szCs w:val="21"/>
          <w:highlight w:val="none"/>
          <w:lang w:val="en-US" w:eastAsia="zh-CN" w:bidi="ar-SA"/>
        </w:rPr>
        <w:t>双方另行签订《采购计划确认表》一事一议。</w:t>
      </w:r>
      <w:r>
        <w:rPr>
          <w:rFonts w:hint="eastAsia" w:ascii="仿宋_GB2312" w:hAnsi="仿宋_GB2312" w:eastAsia="仿宋_GB2312" w:cs="仿宋_GB2312"/>
          <w:kern w:val="2"/>
          <w:sz w:val="21"/>
          <w:szCs w:val="21"/>
          <w:highlight w:val="none"/>
          <w:lang w:val="en-US" w:eastAsia="zh-CN" w:bidi="ar-SA"/>
        </w:rPr>
        <w:t>最终供应数量以每批次进货通知为准，结算以实际到场且验收合格的数量为准。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458" w:firstLineChars="200"/>
        <w:jc w:val="both"/>
        <w:textAlignment w:val="baseline"/>
        <w:outlineLvl w:val="9"/>
        <w:rPr>
          <w:rFonts w:hint="eastAsia" w:ascii="仿宋_GB2312" w:hAnsi="仿宋_GB2312" w:eastAsia="仿宋_GB2312" w:cs="仿宋_GB2312"/>
          <w:b/>
          <w:bCs/>
          <w:spacing w:val="9"/>
          <w:sz w:val="21"/>
          <w:szCs w:val="21"/>
          <w:highlight w:val="none"/>
        </w:rPr>
      </w:pPr>
      <w:r>
        <w:rPr>
          <w:rFonts w:hint="eastAsia" w:ascii="仿宋_GB2312" w:hAnsi="仿宋_GB2312" w:cs="仿宋_GB2312"/>
          <w:b/>
          <w:bCs/>
          <w:spacing w:val="9"/>
          <w:sz w:val="21"/>
          <w:szCs w:val="21"/>
          <w:highlight w:val="none"/>
          <w:lang w:val="en-US" w:eastAsia="zh-CN"/>
        </w:rPr>
        <w:t>二、</w:t>
      </w:r>
      <w:r>
        <w:rPr>
          <w:rFonts w:hint="eastAsia" w:ascii="仿宋_GB2312" w:hAnsi="仿宋_GB2312" w:eastAsia="仿宋_GB2312" w:cs="仿宋_GB2312"/>
          <w:b/>
          <w:bCs/>
          <w:spacing w:val="9"/>
          <w:sz w:val="21"/>
          <w:szCs w:val="21"/>
          <w:highlight w:val="none"/>
        </w:rPr>
        <w:t>质量要求、技术标准</w:t>
      </w:r>
    </w:p>
    <w:p>
      <w:pPr>
        <w:keepNext w:val="0"/>
        <w:keepLines w:val="0"/>
        <w:pageBreakBefore w:val="0"/>
        <w:widowControl w:val="0"/>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供方提供物资必须符合现行国家标准（尺寸、外形、重量及允许偏差，技术标准、交货条件执行国家现行标准）。盘圆、盘螺、螺纹钢材料：应符合的技术标准及质量按照《钢筋混凝土用钢第1部分：热轧光圆钢筋》(GB/T1499.1-2017)与《钢筋混凝土用钢第2部分：热轧带肋钢筋》(GB/T1499.2-2018)质量要求执行。工字钢执行GB/T 706-2016国家标准及其引用标准；角钢执行GB/T 706－2016国家标准及其引用标准；热轧钢板执行GB/T 709-2019国家标准及其引用标准；无缝钢管执行GB/T8162-2018国家标准及其引用标准。</w:t>
      </w:r>
    </w:p>
    <w:p>
      <w:pPr>
        <w:keepNext w:val="0"/>
        <w:keepLines w:val="0"/>
        <w:pageBreakBefore w:val="0"/>
        <w:widowControl w:val="0"/>
        <w:wordWrap/>
        <w:overflowPunct/>
        <w:topLinePunct w:val="0"/>
        <w:bidi w:val="0"/>
        <w:spacing w:line="520" w:lineRule="exact"/>
        <w:jc w:val="both"/>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cs="仿宋_GB2312"/>
          <w:kern w:val="2"/>
          <w:sz w:val="21"/>
          <w:szCs w:val="21"/>
          <w:highlight w:val="none"/>
          <w:lang w:val="en-US" w:eastAsia="zh-CN" w:bidi="ar-SA"/>
        </w:rPr>
        <w:t>2、</w:t>
      </w:r>
      <w:r>
        <w:rPr>
          <w:rFonts w:hint="eastAsia" w:ascii="仿宋_GB2312" w:hAnsi="仿宋_GB2312" w:eastAsia="仿宋_GB2312" w:cs="仿宋_GB2312"/>
          <w:kern w:val="2"/>
          <w:sz w:val="21"/>
          <w:szCs w:val="21"/>
          <w:highlight w:val="none"/>
          <w:lang w:val="en-US" w:eastAsia="zh-CN" w:bidi="ar-SA"/>
        </w:rPr>
        <w:t>以上材料除满足上述标准外，还应满足工程设计文件、监理、本合同和业主要求，并提供相应的检测报告。若国家颁布新标准，则按最新标准执行。</w:t>
      </w:r>
    </w:p>
    <w:p>
      <w:pPr>
        <w:keepNext w:val="0"/>
        <w:keepLines w:val="0"/>
        <w:pageBreakBefore w:val="0"/>
        <w:widowControl w:val="0"/>
        <w:numPr>
          <w:ilvl w:val="0"/>
          <w:numId w:val="0"/>
        </w:numPr>
        <w:tabs>
          <w:tab w:val="left" w:pos="5640"/>
        </w:tabs>
        <w:wordWrap/>
        <w:overflowPunct/>
        <w:topLinePunct w:val="0"/>
        <w:bidi w:val="0"/>
        <w:spacing w:line="520" w:lineRule="exact"/>
        <w:ind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三、交货期限、运输及交货地点</w:t>
      </w:r>
    </w:p>
    <w:p>
      <w:pPr>
        <w:keepNext w:val="0"/>
        <w:keepLines w:val="0"/>
        <w:pageBreakBefore w:val="0"/>
        <w:widowControl w:val="0"/>
        <w:tabs>
          <w:tab w:val="left" w:pos="5640"/>
        </w:tabs>
        <w:wordWrap/>
        <w:overflowPunct/>
        <w:topLinePunct w:val="0"/>
        <w:bidi w:val="0"/>
        <w:spacing w:line="520" w:lineRule="exact"/>
        <w:ind w:left="0" w:leftChars="0" w:firstLine="420" w:firstLineChars="200"/>
        <w:jc w:val="both"/>
        <w:outlineLvl w:val="9"/>
        <w:rPr>
          <w:rFonts w:hint="eastAsia" w:ascii="仿宋_GB2312" w:hAnsi="仿宋_GB2312" w:cs="仿宋_GB2312"/>
          <w:kern w:val="2"/>
          <w:sz w:val="21"/>
          <w:szCs w:val="21"/>
          <w:highlight w:val="none"/>
          <w:lang w:val="en-US" w:eastAsia="zh-CN" w:bidi="ar-SA"/>
        </w:rPr>
      </w:pPr>
      <w:r>
        <w:rPr>
          <w:rFonts w:hint="eastAsia" w:ascii="仿宋_GB2312" w:hAnsi="仿宋_GB2312" w:cs="仿宋_GB2312"/>
          <w:kern w:val="2"/>
          <w:sz w:val="21"/>
          <w:szCs w:val="21"/>
          <w:highlight w:val="none"/>
          <w:lang w:val="en-US" w:eastAsia="zh-CN" w:bidi="ar-SA"/>
        </w:rPr>
        <w:t>1.</w:t>
      </w:r>
      <w:r>
        <w:rPr>
          <w:rFonts w:hint="eastAsia" w:ascii="仿宋_GB2312" w:hAnsi="仿宋_GB2312" w:eastAsia="仿宋_GB2312" w:cs="仿宋_GB2312"/>
          <w:i w:val="0"/>
          <w:iCs w:val="0"/>
          <w:caps w:val="0"/>
          <w:spacing w:val="0"/>
          <w:sz w:val="21"/>
          <w:szCs w:val="21"/>
          <w:highlight w:val="none"/>
          <w:shd w:val="clear"/>
        </w:rPr>
        <w:t>乙方在收到甲方提供的用料计划后，应按照甲方的要求，在规定时间内将货物送达至指定地点。</w:t>
      </w:r>
      <w:r>
        <w:rPr>
          <w:rFonts w:hint="eastAsia" w:ascii="仿宋_GB2312" w:hAnsi="仿宋_GB2312" w:eastAsia="仿宋_GB2312" w:cs="仿宋_GB2312"/>
          <w:kern w:val="2"/>
          <w:sz w:val="21"/>
          <w:szCs w:val="21"/>
          <w:highlight w:val="none"/>
          <w:lang w:val="en-US" w:eastAsia="zh-CN" w:bidi="ar-SA"/>
        </w:rPr>
        <w:t>每延迟一天按</w:t>
      </w:r>
      <w:r>
        <w:rPr>
          <w:rFonts w:hint="eastAsia" w:ascii="仿宋_GB2312" w:hAnsi="仿宋_GB2312" w:cs="仿宋_GB2312"/>
          <w:kern w:val="2"/>
          <w:sz w:val="21"/>
          <w:szCs w:val="21"/>
          <w:highlight w:val="none"/>
          <w:lang w:val="en-US" w:eastAsia="zh-CN" w:bidi="ar-SA"/>
        </w:rPr>
        <w:t>1000</w:t>
      </w:r>
      <w:r>
        <w:rPr>
          <w:rFonts w:hint="eastAsia" w:ascii="仿宋_GB2312" w:hAnsi="仿宋_GB2312" w:eastAsia="仿宋_GB2312" w:cs="仿宋_GB2312"/>
          <w:kern w:val="2"/>
          <w:sz w:val="21"/>
          <w:szCs w:val="21"/>
          <w:highlight w:val="none"/>
          <w:lang w:val="en-US" w:eastAsia="zh-CN" w:bidi="ar-SA"/>
        </w:rPr>
        <w:t>元/天从货款中扣除误工费，逾期3天以上未交货的视为乙方违约（滑坡、塌方等自然灾害及国家政策影响等不可抗力导致的除外）</w:t>
      </w:r>
      <w:r>
        <w:rPr>
          <w:rFonts w:hint="eastAsia" w:ascii="仿宋_GB2312" w:hAnsi="仿宋_GB2312" w:eastAsia="仿宋_GB2312" w:cs="仿宋_GB2312"/>
          <w:bCs/>
          <w:spacing w:val="2"/>
          <w:sz w:val="21"/>
          <w:szCs w:val="21"/>
          <w:highlight w:val="none"/>
        </w:rPr>
        <w:t>，</w:t>
      </w:r>
      <w:r>
        <w:rPr>
          <w:rFonts w:hint="eastAsia" w:ascii="仿宋_GB2312" w:hAnsi="仿宋_GB2312" w:eastAsia="仿宋_GB2312" w:cs="仿宋_GB2312"/>
          <w:kern w:val="2"/>
          <w:sz w:val="21"/>
          <w:szCs w:val="21"/>
          <w:highlight w:val="none"/>
          <w:lang w:val="en-US" w:eastAsia="zh-CN" w:bidi="ar-SA"/>
        </w:rPr>
        <w:t>甲方有权</w:t>
      </w:r>
      <w:r>
        <w:rPr>
          <w:rFonts w:hint="eastAsia" w:ascii="仿宋_GB2312" w:hAnsi="仿宋_GB2312" w:cs="仿宋_GB2312"/>
          <w:kern w:val="2"/>
          <w:sz w:val="21"/>
          <w:szCs w:val="21"/>
          <w:highlight w:val="none"/>
          <w:lang w:val="en-US" w:eastAsia="zh-CN" w:bidi="ar-SA"/>
        </w:rPr>
        <w:t>通过第三方采购交货，乙方承担甲方采购成本并赔偿由此造成甲方的</w:t>
      </w:r>
      <w:r>
        <w:rPr>
          <w:rFonts w:hint="eastAsia" w:ascii="仿宋_GB2312" w:hAnsi="仿宋_GB2312" w:eastAsia="仿宋_GB2312" w:cs="仿宋_GB2312"/>
          <w:bCs/>
          <w:spacing w:val="2"/>
          <w:sz w:val="21"/>
          <w:szCs w:val="21"/>
          <w:highlight w:val="none"/>
        </w:rPr>
        <w:t>一切直接、间接损失</w:t>
      </w:r>
      <w:r>
        <w:rPr>
          <w:rFonts w:hint="eastAsia" w:ascii="仿宋_GB2312" w:hAnsi="仿宋_GB2312" w:cs="仿宋_GB2312"/>
          <w:kern w:val="2"/>
          <w:sz w:val="21"/>
          <w:szCs w:val="21"/>
          <w:highlight w:val="none"/>
          <w:lang w:val="en-US" w:eastAsia="zh-CN" w:bidi="ar-SA"/>
        </w:rPr>
        <w:t>。</w:t>
      </w:r>
    </w:p>
    <w:p>
      <w:pPr>
        <w:keepNext w:val="0"/>
        <w:keepLines w:val="0"/>
        <w:pageBreakBefore w:val="0"/>
        <w:widowControl w:val="0"/>
        <w:tabs>
          <w:tab w:val="left" w:pos="5640"/>
        </w:tabs>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cs="仿宋_GB2312"/>
          <w:kern w:val="2"/>
          <w:sz w:val="21"/>
          <w:szCs w:val="21"/>
          <w:highlight w:val="none"/>
          <w:lang w:val="en-US" w:eastAsia="zh-CN" w:bidi="ar-SA"/>
        </w:rPr>
        <w:t>2.</w:t>
      </w:r>
      <w:r>
        <w:rPr>
          <w:rFonts w:hint="eastAsia" w:ascii="仿宋_GB2312" w:hAnsi="仿宋_GB2312" w:eastAsia="仿宋_GB2312" w:cs="仿宋_GB2312"/>
          <w:kern w:val="2"/>
          <w:sz w:val="21"/>
          <w:szCs w:val="21"/>
          <w:highlight w:val="none"/>
          <w:lang w:val="en-US" w:eastAsia="zh-CN" w:bidi="ar-SA"/>
        </w:rPr>
        <w:t>货物运输由乙方负责，货物到达交货地点过程中的一切费用</w:t>
      </w:r>
      <w:r>
        <w:rPr>
          <w:rFonts w:hint="eastAsia" w:ascii="仿宋_GB2312" w:hAnsi="仿宋_GB2312" w:cs="仿宋_GB2312"/>
          <w:kern w:val="2"/>
          <w:sz w:val="21"/>
          <w:szCs w:val="21"/>
          <w:highlight w:val="none"/>
          <w:lang w:val="en-US" w:eastAsia="zh-CN" w:bidi="ar-SA"/>
        </w:rPr>
        <w:t>及风险</w:t>
      </w:r>
      <w:r>
        <w:rPr>
          <w:rFonts w:hint="eastAsia" w:ascii="仿宋_GB2312" w:hAnsi="仿宋_GB2312" w:eastAsia="仿宋_GB2312" w:cs="仿宋_GB2312"/>
          <w:kern w:val="2"/>
          <w:sz w:val="21"/>
          <w:szCs w:val="21"/>
          <w:highlight w:val="none"/>
          <w:lang w:val="en-US" w:eastAsia="zh-CN" w:bidi="ar-SA"/>
        </w:rPr>
        <w:t>由乙方承担。</w:t>
      </w:r>
    </w:p>
    <w:p>
      <w:pPr>
        <w:keepNext w:val="0"/>
        <w:keepLines w:val="0"/>
        <w:pageBreakBefore w:val="0"/>
        <w:widowControl w:val="0"/>
        <w:numPr>
          <w:ilvl w:val="0"/>
          <w:numId w:val="0"/>
        </w:numPr>
        <w:tabs>
          <w:tab w:val="left" w:pos="5640"/>
        </w:tabs>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四、质量验收</w:t>
      </w:r>
    </w:p>
    <w:p>
      <w:pPr>
        <w:keepNext w:val="0"/>
        <w:keepLines w:val="0"/>
        <w:pageBreakBefore w:val="0"/>
        <w:widowControl w:val="0"/>
        <w:numPr>
          <w:ilvl w:val="-1"/>
          <w:numId w:val="0"/>
        </w:numPr>
        <w:tabs>
          <w:tab w:val="left" w:pos="5640"/>
        </w:tabs>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b w:val="0"/>
          <w:spacing w:val="0"/>
          <w:kern w:val="2"/>
          <w:sz w:val="21"/>
          <w:szCs w:val="21"/>
          <w:highlight w:val="none"/>
          <w:lang w:val="en-US" w:eastAsia="zh-CN" w:bidi="ar-SA"/>
        </w:rPr>
      </w:pPr>
      <w:r>
        <w:rPr>
          <w:rFonts w:hint="eastAsia" w:ascii="仿宋_GB2312" w:hAnsi="仿宋_GB2312" w:eastAsia="仿宋_GB2312" w:cs="仿宋_GB2312"/>
          <w:b w:val="0"/>
          <w:spacing w:val="0"/>
          <w:kern w:val="2"/>
          <w:sz w:val="21"/>
          <w:szCs w:val="21"/>
          <w:highlight w:val="none"/>
          <w:lang w:val="en-US" w:eastAsia="zh-CN" w:bidi="ar-SA"/>
        </w:rPr>
        <w:t>1、质量证明书（质保书、检验报告）和产品合格证:每批交货产品检验合格所附的证明文件。其内容包括材料名称、牌号、规格、质量等级、合同和标准规定的全部检验项目的检验结果、合同号、标准号、检验批号、交货件数、重量等。（质保书、检验报告）和产品合格证是重要的技术文件必须随货同行，必须加盖生产厂家印章以及供货单位鲜章。</w:t>
      </w:r>
    </w:p>
    <w:p>
      <w:pPr>
        <w:keepNext w:val="0"/>
        <w:keepLines w:val="0"/>
        <w:pageBreakBefore w:val="0"/>
        <w:widowControl w:val="0"/>
        <w:numPr>
          <w:ilvl w:val="-1"/>
          <w:numId w:val="0"/>
        </w:numPr>
        <w:tabs>
          <w:tab w:val="left" w:pos="5640"/>
        </w:tabs>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b w:val="0"/>
          <w:spacing w:val="0"/>
          <w:kern w:val="2"/>
          <w:sz w:val="21"/>
          <w:szCs w:val="21"/>
          <w:highlight w:val="none"/>
          <w:lang w:val="en-US" w:eastAsia="zh-CN" w:bidi="ar-SA"/>
        </w:rPr>
      </w:pPr>
      <w:r>
        <w:rPr>
          <w:rFonts w:hint="eastAsia" w:ascii="仿宋_GB2312" w:hAnsi="仿宋_GB2312" w:eastAsia="仿宋_GB2312" w:cs="仿宋_GB2312"/>
          <w:b w:val="0"/>
          <w:spacing w:val="0"/>
          <w:kern w:val="2"/>
          <w:sz w:val="21"/>
          <w:szCs w:val="21"/>
          <w:highlight w:val="none"/>
          <w:lang w:val="en-US" w:eastAsia="zh-CN" w:bidi="ar-SA"/>
        </w:rPr>
        <w:t>2、</w:t>
      </w:r>
      <w:r>
        <w:rPr>
          <w:rFonts w:hint="eastAsia" w:ascii="仿宋_GB2312" w:hAnsi="仿宋_GB2312" w:cs="仿宋_GB2312"/>
          <w:b w:val="0"/>
          <w:spacing w:val="0"/>
          <w:kern w:val="2"/>
          <w:sz w:val="21"/>
          <w:szCs w:val="21"/>
          <w:highlight w:val="none"/>
          <w:lang w:val="en-US" w:eastAsia="zh-CN" w:bidi="ar-SA"/>
        </w:rPr>
        <w:t>乙方</w:t>
      </w:r>
      <w:r>
        <w:rPr>
          <w:rFonts w:hint="eastAsia" w:ascii="仿宋_GB2312" w:hAnsi="仿宋_GB2312" w:eastAsia="仿宋_GB2312" w:cs="仿宋_GB2312"/>
          <w:b w:val="0"/>
          <w:spacing w:val="0"/>
          <w:kern w:val="2"/>
          <w:sz w:val="21"/>
          <w:szCs w:val="21"/>
          <w:highlight w:val="none"/>
          <w:lang w:val="en-US" w:eastAsia="zh-CN" w:bidi="ar-SA"/>
        </w:rPr>
        <w:t>应无条件配合</w:t>
      </w:r>
      <w:r>
        <w:rPr>
          <w:rFonts w:hint="eastAsia" w:ascii="仿宋_GB2312" w:hAnsi="仿宋_GB2312" w:cs="仿宋_GB2312"/>
          <w:b w:val="0"/>
          <w:spacing w:val="0"/>
          <w:kern w:val="2"/>
          <w:sz w:val="21"/>
          <w:szCs w:val="21"/>
          <w:highlight w:val="none"/>
          <w:lang w:val="en-US" w:eastAsia="zh-CN" w:bidi="ar-SA"/>
        </w:rPr>
        <w:t>甲方</w:t>
      </w:r>
      <w:r>
        <w:rPr>
          <w:rFonts w:hint="eastAsia" w:ascii="仿宋_GB2312" w:hAnsi="仿宋_GB2312" w:eastAsia="仿宋_GB2312" w:cs="仿宋_GB2312"/>
          <w:b w:val="0"/>
          <w:spacing w:val="0"/>
          <w:kern w:val="2"/>
          <w:sz w:val="21"/>
          <w:szCs w:val="21"/>
          <w:highlight w:val="none"/>
          <w:lang w:val="en-US" w:eastAsia="zh-CN" w:bidi="ar-SA"/>
        </w:rPr>
        <w:t>将本次</w:t>
      </w:r>
      <w:r>
        <w:rPr>
          <w:rFonts w:hint="eastAsia" w:ascii="仿宋_GB2312" w:hAnsi="仿宋_GB2312" w:cs="仿宋_GB2312"/>
          <w:b w:val="0"/>
          <w:spacing w:val="0"/>
          <w:kern w:val="2"/>
          <w:sz w:val="21"/>
          <w:szCs w:val="21"/>
          <w:highlight w:val="none"/>
          <w:lang w:val="en-US" w:eastAsia="zh-CN" w:bidi="ar-SA"/>
        </w:rPr>
        <w:t>采购</w:t>
      </w:r>
      <w:r>
        <w:rPr>
          <w:rFonts w:hint="eastAsia" w:ascii="仿宋_GB2312" w:hAnsi="仿宋_GB2312" w:eastAsia="仿宋_GB2312" w:cs="仿宋_GB2312"/>
          <w:b w:val="0"/>
          <w:spacing w:val="0"/>
          <w:kern w:val="2"/>
          <w:sz w:val="21"/>
          <w:szCs w:val="21"/>
          <w:highlight w:val="none"/>
          <w:lang w:val="en-US" w:eastAsia="zh-CN" w:bidi="ar-SA"/>
        </w:rPr>
        <w:t>的</w:t>
      </w:r>
      <w:r>
        <w:rPr>
          <w:rFonts w:hint="eastAsia" w:ascii="仿宋_GB2312" w:hAnsi="仿宋_GB2312" w:cs="仿宋_GB2312"/>
          <w:b w:val="0"/>
          <w:spacing w:val="0"/>
          <w:kern w:val="2"/>
          <w:sz w:val="21"/>
          <w:szCs w:val="21"/>
          <w:highlight w:val="none"/>
          <w:lang w:val="en-US" w:eastAsia="zh-CN" w:bidi="ar-SA"/>
        </w:rPr>
        <w:t>钢材</w:t>
      </w:r>
      <w:r>
        <w:rPr>
          <w:rFonts w:hint="eastAsia" w:ascii="仿宋_GB2312" w:hAnsi="仿宋_GB2312" w:eastAsia="仿宋_GB2312" w:cs="仿宋_GB2312"/>
          <w:b w:val="0"/>
          <w:spacing w:val="0"/>
          <w:kern w:val="2"/>
          <w:sz w:val="21"/>
          <w:szCs w:val="21"/>
          <w:highlight w:val="none"/>
          <w:lang w:val="en-US" w:eastAsia="zh-CN" w:bidi="ar-SA"/>
        </w:rPr>
        <w:t>按要求送至指定单位进行外委检测，送检</w:t>
      </w:r>
      <w:r>
        <w:rPr>
          <w:rFonts w:hint="eastAsia" w:ascii="仿宋_GB2312" w:hAnsi="仿宋_GB2312" w:cs="仿宋_GB2312"/>
          <w:b w:val="0"/>
          <w:spacing w:val="0"/>
          <w:kern w:val="2"/>
          <w:sz w:val="21"/>
          <w:szCs w:val="21"/>
          <w:highlight w:val="none"/>
          <w:lang w:val="en-US" w:eastAsia="zh-CN" w:bidi="ar-SA"/>
        </w:rPr>
        <w:t>材料</w:t>
      </w:r>
      <w:r>
        <w:rPr>
          <w:rFonts w:hint="eastAsia" w:ascii="仿宋_GB2312" w:hAnsi="仿宋_GB2312" w:eastAsia="仿宋_GB2312" w:cs="仿宋_GB2312"/>
          <w:b w:val="0"/>
          <w:spacing w:val="0"/>
          <w:kern w:val="2"/>
          <w:sz w:val="21"/>
          <w:szCs w:val="21"/>
          <w:highlight w:val="none"/>
          <w:lang w:val="en-US" w:eastAsia="zh-CN" w:bidi="ar-SA"/>
        </w:rPr>
        <w:t>由</w:t>
      </w:r>
      <w:r>
        <w:rPr>
          <w:rFonts w:hint="eastAsia" w:ascii="仿宋_GB2312" w:hAnsi="仿宋_GB2312" w:cs="仿宋_GB2312"/>
          <w:b w:val="0"/>
          <w:spacing w:val="0"/>
          <w:kern w:val="2"/>
          <w:sz w:val="21"/>
          <w:szCs w:val="21"/>
          <w:highlight w:val="none"/>
          <w:lang w:val="en-US" w:eastAsia="zh-CN" w:bidi="ar-SA"/>
        </w:rPr>
        <w:t>乙方</w:t>
      </w:r>
      <w:r>
        <w:rPr>
          <w:rFonts w:hint="eastAsia" w:ascii="仿宋_GB2312" w:hAnsi="仿宋_GB2312" w:eastAsia="仿宋_GB2312" w:cs="仿宋_GB2312"/>
          <w:b w:val="0"/>
          <w:spacing w:val="0"/>
          <w:kern w:val="2"/>
          <w:sz w:val="21"/>
          <w:szCs w:val="21"/>
          <w:highlight w:val="none"/>
          <w:lang w:val="en-US" w:eastAsia="zh-CN" w:bidi="ar-SA"/>
        </w:rPr>
        <w:t>承担，材料不退。货到现场后（质量证明文件应随货物一起送至现场），</w:t>
      </w:r>
      <w:r>
        <w:rPr>
          <w:rFonts w:hint="eastAsia" w:ascii="仿宋_GB2312" w:hAnsi="仿宋_GB2312" w:cs="仿宋_GB2312"/>
          <w:b w:val="0"/>
          <w:spacing w:val="0"/>
          <w:kern w:val="2"/>
          <w:sz w:val="21"/>
          <w:szCs w:val="21"/>
          <w:highlight w:val="none"/>
          <w:lang w:val="en-US" w:eastAsia="zh-CN" w:bidi="ar-SA"/>
        </w:rPr>
        <w:t>项目</w:t>
      </w:r>
      <w:r>
        <w:rPr>
          <w:rFonts w:hint="eastAsia" w:ascii="仿宋_GB2312" w:hAnsi="仿宋_GB2312" w:eastAsia="仿宋_GB2312" w:cs="仿宋_GB2312"/>
          <w:b w:val="0"/>
          <w:spacing w:val="0"/>
          <w:kern w:val="2"/>
          <w:sz w:val="21"/>
          <w:szCs w:val="21"/>
          <w:highlight w:val="none"/>
          <w:lang w:val="en-US" w:eastAsia="zh-CN" w:bidi="ar-SA"/>
        </w:rPr>
        <w:t>实验室及监理将根据相关要求进行抽检，如抽检质量不合格，</w:t>
      </w:r>
      <w:r>
        <w:rPr>
          <w:rFonts w:hint="eastAsia" w:ascii="仿宋_GB2312" w:hAnsi="仿宋_GB2312" w:cs="仿宋_GB2312"/>
          <w:b w:val="0"/>
          <w:spacing w:val="0"/>
          <w:kern w:val="2"/>
          <w:sz w:val="21"/>
          <w:szCs w:val="21"/>
          <w:highlight w:val="none"/>
          <w:lang w:val="en-US" w:eastAsia="zh-CN" w:bidi="ar-SA"/>
        </w:rPr>
        <w:t>甲乙</w:t>
      </w:r>
      <w:r>
        <w:rPr>
          <w:rFonts w:hint="eastAsia" w:ascii="仿宋_GB2312" w:hAnsi="仿宋_GB2312" w:eastAsia="仿宋_GB2312" w:cs="仿宋_GB2312"/>
          <w:b w:val="0"/>
          <w:spacing w:val="0"/>
          <w:kern w:val="2"/>
          <w:sz w:val="21"/>
          <w:szCs w:val="21"/>
          <w:highlight w:val="none"/>
          <w:lang w:val="en-US" w:eastAsia="zh-CN" w:bidi="ar-SA"/>
        </w:rPr>
        <w:t>双方可送第三方有资格的单位进行复检，如质量仍不合格，</w:t>
      </w:r>
      <w:r>
        <w:rPr>
          <w:rFonts w:hint="eastAsia" w:ascii="仿宋_GB2312" w:hAnsi="仿宋_GB2312" w:cs="仿宋_GB2312"/>
          <w:b w:val="0"/>
          <w:spacing w:val="0"/>
          <w:kern w:val="2"/>
          <w:sz w:val="21"/>
          <w:szCs w:val="21"/>
          <w:highlight w:val="none"/>
          <w:lang w:val="en-US" w:eastAsia="zh-CN" w:bidi="ar-SA"/>
        </w:rPr>
        <w:t>乙方</w:t>
      </w:r>
      <w:r>
        <w:rPr>
          <w:rFonts w:hint="eastAsia" w:ascii="仿宋_GB2312" w:hAnsi="仿宋_GB2312" w:eastAsia="仿宋_GB2312" w:cs="仿宋_GB2312"/>
          <w:b w:val="0"/>
          <w:spacing w:val="0"/>
          <w:kern w:val="2"/>
          <w:sz w:val="21"/>
          <w:szCs w:val="21"/>
          <w:highlight w:val="none"/>
          <w:lang w:val="en-US" w:eastAsia="zh-CN" w:bidi="ar-SA"/>
        </w:rPr>
        <w:t>应无条件退货并立即更换合格产品，由此造成的一切损失均由</w:t>
      </w:r>
      <w:r>
        <w:rPr>
          <w:rFonts w:hint="eastAsia" w:ascii="仿宋_GB2312" w:hAnsi="仿宋_GB2312" w:cs="仿宋_GB2312"/>
          <w:b w:val="0"/>
          <w:spacing w:val="0"/>
          <w:kern w:val="2"/>
          <w:sz w:val="21"/>
          <w:szCs w:val="21"/>
          <w:highlight w:val="none"/>
          <w:lang w:val="en-US" w:eastAsia="zh-CN" w:bidi="ar-SA"/>
        </w:rPr>
        <w:t>乙方</w:t>
      </w:r>
      <w:r>
        <w:rPr>
          <w:rFonts w:hint="eastAsia" w:ascii="仿宋_GB2312" w:hAnsi="仿宋_GB2312" w:eastAsia="仿宋_GB2312" w:cs="仿宋_GB2312"/>
          <w:b w:val="0"/>
          <w:spacing w:val="0"/>
          <w:kern w:val="2"/>
          <w:sz w:val="21"/>
          <w:szCs w:val="21"/>
          <w:highlight w:val="none"/>
          <w:lang w:val="en-US" w:eastAsia="zh-CN" w:bidi="ar-SA"/>
        </w:rPr>
        <w:t>负责。抽检</w:t>
      </w:r>
      <w:r>
        <w:rPr>
          <w:rFonts w:hint="eastAsia" w:ascii="仿宋_GB2312" w:hAnsi="仿宋_GB2312" w:cs="仿宋_GB2312"/>
          <w:b w:val="0"/>
          <w:spacing w:val="0"/>
          <w:kern w:val="2"/>
          <w:sz w:val="21"/>
          <w:szCs w:val="21"/>
          <w:highlight w:val="none"/>
          <w:lang w:val="en-US" w:eastAsia="zh-CN" w:bidi="ar-SA"/>
        </w:rPr>
        <w:t>结果</w:t>
      </w:r>
      <w:r>
        <w:rPr>
          <w:rFonts w:hint="eastAsia" w:ascii="仿宋_GB2312" w:hAnsi="仿宋_GB2312" w:eastAsia="仿宋_GB2312" w:cs="仿宋_GB2312"/>
          <w:b w:val="0"/>
          <w:spacing w:val="0"/>
          <w:kern w:val="2"/>
          <w:sz w:val="21"/>
          <w:szCs w:val="21"/>
          <w:highlight w:val="none"/>
          <w:lang w:val="en-US" w:eastAsia="zh-CN" w:bidi="ar-SA"/>
        </w:rPr>
        <w:t>不免除</w:t>
      </w:r>
      <w:r>
        <w:rPr>
          <w:rFonts w:hint="eastAsia" w:ascii="仿宋_GB2312" w:hAnsi="仿宋_GB2312" w:cs="仿宋_GB2312"/>
          <w:b w:val="0"/>
          <w:spacing w:val="0"/>
          <w:kern w:val="2"/>
          <w:sz w:val="21"/>
          <w:szCs w:val="21"/>
          <w:highlight w:val="none"/>
          <w:lang w:val="en-US" w:eastAsia="zh-CN" w:bidi="ar-SA"/>
        </w:rPr>
        <w:t>乙方</w:t>
      </w:r>
      <w:r>
        <w:rPr>
          <w:rFonts w:hint="eastAsia" w:ascii="仿宋_GB2312" w:hAnsi="仿宋_GB2312" w:eastAsia="仿宋_GB2312" w:cs="仿宋_GB2312"/>
          <w:b w:val="0"/>
          <w:spacing w:val="0"/>
          <w:kern w:val="2"/>
          <w:sz w:val="21"/>
          <w:szCs w:val="21"/>
          <w:highlight w:val="none"/>
          <w:lang w:val="en-US" w:eastAsia="zh-CN" w:bidi="ar-SA"/>
        </w:rPr>
        <w:t>对产品质量的后续责任承担。</w:t>
      </w:r>
    </w:p>
    <w:p>
      <w:pPr>
        <w:keepNext w:val="0"/>
        <w:keepLines w:val="0"/>
        <w:pageBreakBefore w:val="0"/>
        <w:widowControl w:val="0"/>
        <w:numPr>
          <w:ilvl w:val="0"/>
          <w:numId w:val="0"/>
        </w:numPr>
        <w:tabs>
          <w:tab w:val="left" w:pos="5640"/>
        </w:tabs>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五、 数量验收方法</w:t>
      </w:r>
    </w:p>
    <w:p>
      <w:pPr>
        <w:keepNext w:val="0"/>
        <w:keepLines w:val="0"/>
        <w:pageBreakBefore w:val="0"/>
        <w:widowControl w:val="0"/>
        <w:numPr>
          <w:ilvl w:val="-1"/>
          <w:numId w:val="0"/>
        </w:numPr>
        <w:tabs>
          <w:tab w:val="left" w:pos="5640"/>
        </w:tabs>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b w:val="0"/>
          <w:spacing w:val="0"/>
          <w:kern w:val="2"/>
          <w:sz w:val="21"/>
          <w:szCs w:val="21"/>
          <w:highlight w:val="none"/>
          <w:lang w:val="en-US" w:eastAsia="zh-CN" w:bidi="ar-SA"/>
        </w:rPr>
      </w:pPr>
      <w:r>
        <w:rPr>
          <w:rFonts w:hint="eastAsia" w:ascii="仿宋_GB2312" w:hAnsi="仿宋_GB2312" w:eastAsia="仿宋_GB2312" w:cs="仿宋_GB2312"/>
          <w:b w:val="0"/>
          <w:spacing w:val="0"/>
          <w:kern w:val="2"/>
          <w:sz w:val="21"/>
          <w:szCs w:val="21"/>
          <w:highlight w:val="none"/>
          <w:lang w:val="en-US" w:eastAsia="zh-CN" w:bidi="ar-SA"/>
        </w:rPr>
        <w:t>1、</w:t>
      </w:r>
      <w:r>
        <w:rPr>
          <w:rFonts w:hint="eastAsia" w:ascii="仿宋_GB2312" w:hAnsi="仿宋_GB2312" w:eastAsia="仿宋_GB2312" w:cs="仿宋_GB2312"/>
          <w:sz w:val="21"/>
          <w:szCs w:val="21"/>
          <w:highlight w:val="none"/>
          <w:lang w:val="en-US" w:eastAsia="zh-CN"/>
        </w:rPr>
        <w:t>螺纹钢以理计方式计量，盘圆、盘螺</w:t>
      </w:r>
      <w:r>
        <w:rPr>
          <w:rFonts w:hint="eastAsia" w:ascii="仿宋_GB2312" w:hAnsi="仿宋_GB2312" w:cs="仿宋_GB2312"/>
          <w:sz w:val="21"/>
          <w:szCs w:val="21"/>
          <w:highlight w:val="none"/>
          <w:lang w:val="en-US" w:eastAsia="zh-CN"/>
        </w:rPr>
        <w:t>、工字钢、角钢、钢板、无缝钢管</w:t>
      </w:r>
      <w:r>
        <w:rPr>
          <w:rFonts w:hint="eastAsia" w:ascii="仿宋_GB2312" w:hAnsi="仿宋_GB2312" w:eastAsia="仿宋_GB2312" w:cs="仿宋_GB2312"/>
          <w:sz w:val="21"/>
          <w:szCs w:val="21"/>
          <w:highlight w:val="none"/>
          <w:lang w:val="en-US" w:eastAsia="zh-CN"/>
        </w:rPr>
        <w:t>以过磅计量为准。</w:t>
      </w:r>
      <w:r>
        <w:rPr>
          <w:rFonts w:hint="eastAsia" w:ascii="仿宋_GB2312" w:hAnsi="仿宋_GB2312" w:eastAsia="仿宋_GB2312" w:cs="仿宋_GB2312"/>
          <w:b w:val="0"/>
          <w:spacing w:val="0"/>
          <w:kern w:val="2"/>
          <w:sz w:val="21"/>
          <w:szCs w:val="21"/>
          <w:highlight w:val="none"/>
          <w:lang w:val="en-US" w:eastAsia="zh-CN" w:bidi="ar-SA"/>
        </w:rPr>
        <w:t>计量方式中材料公差应在国家标准要求范围之内，</w:t>
      </w:r>
      <w:r>
        <w:rPr>
          <w:rFonts w:hint="eastAsia" w:ascii="仿宋_GB2312" w:hAnsi="仿宋_GB2312" w:cs="仿宋_GB2312"/>
          <w:b w:val="0"/>
          <w:spacing w:val="0"/>
          <w:kern w:val="2"/>
          <w:sz w:val="21"/>
          <w:szCs w:val="21"/>
          <w:highlight w:val="none"/>
          <w:lang w:val="en-US" w:eastAsia="zh-CN" w:bidi="ar-SA"/>
        </w:rPr>
        <w:t>甲方</w:t>
      </w:r>
      <w:r>
        <w:rPr>
          <w:rFonts w:hint="eastAsia" w:ascii="仿宋_GB2312" w:hAnsi="仿宋_GB2312" w:eastAsia="仿宋_GB2312" w:cs="仿宋_GB2312"/>
          <w:b w:val="0"/>
          <w:spacing w:val="0"/>
          <w:kern w:val="2"/>
          <w:sz w:val="21"/>
          <w:szCs w:val="21"/>
          <w:highlight w:val="none"/>
          <w:lang w:val="en-US" w:eastAsia="zh-CN" w:bidi="ar-SA"/>
        </w:rPr>
        <w:t>工地现场过磅误差在正负千分之三之内，以送货单为准，超出部分以双方复核为准。合理磅差率外的正/负误差按照</w:t>
      </w:r>
      <w:r>
        <w:rPr>
          <w:rFonts w:hint="eastAsia" w:ascii="仿宋_GB2312" w:hAnsi="仿宋_GB2312" w:cs="仿宋_GB2312"/>
          <w:b w:val="0"/>
          <w:spacing w:val="0"/>
          <w:kern w:val="2"/>
          <w:sz w:val="21"/>
          <w:szCs w:val="21"/>
          <w:highlight w:val="none"/>
          <w:lang w:val="en-US" w:eastAsia="zh-CN" w:bidi="ar-SA"/>
        </w:rPr>
        <w:t>甲方</w:t>
      </w:r>
      <w:r>
        <w:rPr>
          <w:rFonts w:hint="eastAsia" w:ascii="仿宋_GB2312" w:hAnsi="仿宋_GB2312" w:eastAsia="仿宋_GB2312" w:cs="仿宋_GB2312"/>
          <w:b w:val="0"/>
          <w:spacing w:val="0"/>
          <w:kern w:val="2"/>
          <w:sz w:val="21"/>
          <w:szCs w:val="21"/>
          <w:highlight w:val="none"/>
          <w:lang w:val="en-US" w:eastAsia="zh-CN" w:bidi="ar-SA"/>
        </w:rPr>
        <w:t>过磅数量为准，若</w:t>
      </w:r>
      <w:r>
        <w:rPr>
          <w:rFonts w:hint="eastAsia" w:ascii="仿宋_GB2312" w:hAnsi="仿宋_GB2312" w:cs="仿宋_GB2312"/>
          <w:b w:val="0"/>
          <w:spacing w:val="0"/>
          <w:kern w:val="2"/>
          <w:sz w:val="21"/>
          <w:szCs w:val="21"/>
          <w:highlight w:val="none"/>
          <w:lang w:val="en-US" w:eastAsia="zh-CN" w:bidi="ar-SA"/>
        </w:rPr>
        <w:t>乙方</w:t>
      </w:r>
      <w:r>
        <w:rPr>
          <w:rFonts w:hint="eastAsia" w:ascii="仿宋_GB2312" w:hAnsi="仿宋_GB2312" w:eastAsia="仿宋_GB2312" w:cs="仿宋_GB2312"/>
          <w:b w:val="0"/>
          <w:spacing w:val="0"/>
          <w:kern w:val="2"/>
          <w:sz w:val="21"/>
          <w:szCs w:val="21"/>
          <w:highlight w:val="none"/>
          <w:lang w:val="en-US" w:eastAsia="zh-CN" w:bidi="ar-SA"/>
        </w:rPr>
        <w:t>对数量有异议时，由</w:t>
      </w:r>
      <w:r>
        <w:rPr>
          <w:rFonts w:hint="eastAsia" w:ascii="仿宋_GB2312" w:hAnsi="仿宋_GB2312" w:cs="仿宋_GB2312"/>
          <w:b w:val="0"/>
          <w:spacing w:val="0"/>
          <w:kern w:val="2"/>
          <w:sz w:val="21"/>
          <w:szCs w:val="21"/>
          <w:highlight w:val="none"/>
          <w:lang w:val="en-US" w:eastAsia="zh-CN" w:bidi="ar-SA"/>
        </w:rPr>
        <w:t>甲方</w:t>
      </w:r>
      <w:r>
        <w:rPr>
          <w:rFonts w:hint="eastAsia" w:ascii="仿宋_GB2312" w:hAnsi="仿宋_GB2312" w:eastAsia="仿宋_GB2312" w:cs="仿宋_GB2312"/>
          <w:b w:val="0"/>
          <w:spacing w:val="0"/>
          <w:kern w:val="2"/>
          <w:sz w:val="21"/>
          <w:szCs w:val="21"/>
          <w:highlight w:val="none"/>
          <w:lang w:val="en-US" w:eastAsia="zh-CN" w:bidi="ar-SA"/>
        </w:rPr>
        <w:t>验收单位与</w:t>
      </w:r>
      <w:r>
        <w:rPr>
          <w:rFonts w:hint="eastAsia" w:ascii="仿宋_GB2312" w:hAnsi="仿宋_GB2312" w:cs="仿宋_GB2312"/>
          <w:b w:val="0"/>
          <w:spacing w:val="0"/>
          <w:kern w:val="2"/>
          <w:sz w:val="21"/>
          <w:szCs w:val="21"/>
          <w:highlight w:val="none"/>
          <w:lang w:val="en-US" w:eastAsia="zh-CN" w:bidi="ar-SA"/>
        </w:rPr>
        <w:t>乙方</w:t>
      </w:r>
      <w:r>
        <w:rPr>
          <w:rFonts w:hint="eastAsia" w:ascii="仿宋_GB2312" w:hAnsi="仿宋_GB2312" w:eastAsia="仿宋_GB2312" w:cs="仿宋_GB2312"/>
          <w:b w:val="0"/>
          <w:spacing w:val="0"/>
          <w:kern w:val="2"/>
          <w:sz w:val="21"/>
          <w:szCs w:val="21"/>
          <w:highlight w:val="none"/>
          <w:lang w:val="en-US" w:eastAsia="zh-CN" w:bidi="ar-SA"/>
        </w:rPr>
        <w:t>共同选择第三方进行复磅（复磅应选择技术监督局检验合格且距离施工现场较近的公磅处进行），复磅数量与磅单（送货单）数量之差若不超过±3‰范围，以送货单为准，复磅发生的费用由过错方负责；若超出±3‰范围，则以复磅数量为准，复磅发生的费用由</w:t>
      </w:r>
      <w:r>
        <w:rPr>
          <w:rFonts w:hint="eastAsia" w:ascii="仿宋_GB2312" w:hAnsi="仿宋_GB2312" w:cs="仿宋_GB2312"/>
          <w:b w:val="0"/>
          <w:spacing w:val="0"/>
          <w:kern w:val="2"/>
          <w:sz w:val="21"/>
          <w:szCs w:val="21"/>
          <w:highlight w:val="none"/>
          <w:lang w:val="en-US" w:eastAsia="zh-CN" w:bidi="ar-SA"/>
        </w:rPr>
        <w:t>乙方</w:t>
      </w:r>
      <w:r>
        <w:rPr>
          <w:rFonts w:hint="eastAsia" w:ascii="仿宋_GB2312" w:hAnsi="仿宋_GB2312" w:eastAsia="仿宋_GB2312" w:cs="仿宋_GB2312"/>
          <w:b w:val="0"/>
          <w:spacing w:val="0"/>
          <w:kern w:val="2"/>
          <w:sz w:val="21"/>
          <w:szCs w:val="21"/>
          <w:highlight w:val="none"/>
          <w:lang w:val="en-US" w:eastAsia="zh-CN" w:bidi="ar-SA"/>
        </w:rPr>
        <w:t>负责。</w:t>
      </w:r>
    </w:p>
    <w:p>
      <w:pPr>
        <w:keepNext w:val="0"/>
        <w:keepLines w:val="0"/>
        <w:pageBreakBefore w:val="0"/>
        <w:widowControl w:val="0"/>
        <w:numPr>
          <w:ilvl w:val="-1"/>
          <w:numId w:val="0"/>
        </w:numPr>
        <w:tabs>
          <w:tab w:val="left" w:pos="5640"/>
        </w:tabs>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b w:val="0"/>
          <w:spacing w:val="0"/>
          <w:kern w:val="2"/>
          <w:sz w:val="21"/>
          <w:szCs w:val="21"/>
          <w:highlight w:val="none"/>
          <w:lang w:val="en-US" w:eastAsia="zh-CN" w:bidi="ar-SA"/>
        </w:rPr>
      </w:pPr>
      <w:r>
        <w:rPr>
          <w:rFonts w:hint="eastAsia" w:ascii="仿宋_GB2312" w:hAnsi="仿宋_GB2312" w:eastAsia="仿宋_GB2312" w:cs="仿宋_GB2312"/>
          <w:b w:val="0"/>
          <w:spacing w:val="0"/>
          <w:kern w:val="2"/>
          <w:sz w:val="21"/>
          <w:szCs w:val="21"/>
          <w:highlight w:val="none"/>
          <w:lang w:val="en-US" w:eastAsia="zh-CN" w:bidi="ar-SA"/>
        </w:rPr>
        <w:t>2、数量验收以施工现场实际验收的合格产品数量为准，双方进行确认。不合格有权要求退货。双方确认数量后，应立即填写签认收料单作为结算货款的凭据。收料单必须由双方专门指定的人员填写签认。其它人员填写签认的收料单及涂改无效。</w:t>
      </w:r>
    </w:p>
    <w:p>
      <w:pPr>
        <w:keepNext w:val="0"/>
        <w:keepLines w:val="0"/>
        <w:pageBreakBefore w:val="0"/>
        <w:widowControl/>
        <w:numPr>
          <w:ilvl w:val="0"/>
          <w:numId w:val="0"/>
        </w:numPr>
        <w:tabs>
          <w:tab w:val="left" w:pos="5640"/>
        </w:tabs>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b w:val="0"/>
          <w:spacing w:val="0"/>
          <w:kern w:val="2"/>
          <w:sz w:val="21"/>
          <w:szCs w:val="21"/>
          <w:highlight w:val="none"/>
          <w:lang w:val="en-US" w:eastAsia="zh-CN" w:bidi="ar-SA"/>
        </w:rPr>
        <w:t>3、</w:t>
      </w:r>
      <w:r>
        <w:rPr>
          <w:rFonts w:hint="eastAsia" w:ascii="仿宋_GB2312" w:hAnsi="仿宋_GB2312" w:cs="仿宋_GB2312"/>
          <w:b w:val="0"/>
          <w:spacing w:val="0"/>
          <w:kern w:val="2"/>
          <w:sz w:val="21"/>
          <w:szCs w:val="21"/>
          <w:highlight w:val="none"/>
          <w:lang w:val="en-US" w:eastAsia="zh-CN" w:bidi="ar-SA"/>
        </w:rPr>
        <w:t>乙方</w:t>
      </w:r>
      <w:r>
        <w:rPr>
          <w:rFonts w:hint="eastAsia" w:ascii="仿宋_GB2312" w:hAnsi="仿宋_GB2312" w:eastAsia="仿宋_GB2312" w:cs="仿宋_GB2312"/>
          <w:b w:val="0"/>
          <w:spacing w:val="0"/>
          <w:kern w:val="2"/>
          <w:sz w:val="21"/>
          <w:szCs w:val="21"/>
          <w:highlight w:val="none"/>
          <w:lang w:val="en-US" w:eastAsia="zh-CN" w:bidi="ar-SA"/>
        </w:rPr>
        <w:t>随车同行需提供质量证明书（质保书、检验报告）、产品合格证、磅单（送货单）。若无质量证明书（质保书、检验报告）和产品合格证，或者资料、供应的材料不符和采购计划及送货单上无本次货物数量，</w:t>
      </w:r>
      <w:r>
        <w:rPr>
          <w:rFonts w:hint="eastAsia" w:ascii="仿宋_GB2312" w:hAnsi="仿宋_GB2312" w:cs="仿宋_GB2312"/>
          <w:b w:val="0"/>
          <w:spacing w:val="0"/>
          <w:kern w:val="2"/>
          <w:sz w:val="21"/>
          <w:szCs w:val="21"/>
          <w:highlight w:val="none"/>
          <w:lang w:val="en-US" w:eastAsia="zh-CN" w:bidi="ar-SA"/>
        </w:rPr>
        <w:t>甲方</w:t>
      </w:r>
      <w:r>
        <w:rPr>
          <w:rFonts w:hint="eastAsia" w:ascii="仿宋_GB2312" w:hAnsi="仿宋_GB2312" w:eastAsia="仿宋_GB2312" w:cs="仿宋_GB2312"/>
          <w:b w:val="0"/>
          <w:spacing w:val="0"/>
          <w:kern w:val="2"/>
          <w:sz w:val="21"/>
          <w:szCs w:val="21"/>
          <w:highlight w:val="none"/>
          <w:lang w:val="en-US" w:eastAsia="zh-CN" w:bidi="ar-SA"/>
        </w:rPr>
        <w:t>有权拒绝收货。</w:t>
      </w:r>
    </w:p>
    <w:p>
      <w:pPr>
        <w:keepNext w:val="0"/>
        <w:keepLines w:val="0"/>
        <w:pageBreakBefore w:val="0"/>
        <w:widowControl w:val="0"/>
        <w:numPr>
          <w:ilvl w:val="0"/>
          <w:numId w:val="0"/>
        </w:numPr>
        <w:tabs>
          <w:tab w:val="left" w:pos="5640"/>
        </w:tabs>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六、质量及数量异议的处理</w:t>
      </w:r>
    </w:p>
    <w:p>
      <w:pPr>
        <w:keepNext w:val="0"/>
        <w:keepLines w:val="0"/>
        <w:pageBreakBefore w:val="0"/>
        <w:widowControl w:val="0"/>
        <w:tabs>
          <w:tab w:val="left" w:pos="5640"/>
        </w:tabs>
        <w:wordWrap/>
        <w:overflowPunct/>
        <w:topLinePunct w:val="0"/>
        <w:bidi w:val="0"/>
        <w:spacing w:line="520" w:lineRule="exact"/>
        <w:ind w:left="0" w:leftChars="0" w:firstLine="420" w:firstLineChars="200"/>
        <w:jc w:val="both"/>
        <w:outlineLvl w:val="9"/>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1、按第</w:t>
      </w:r>
      <w:r>
        <w:rPr>
          <w:rFonts w:hint="eastAsia" w:ascii="仿宋_GB2312" w:hAnsi="仿宋_GB2312" w:cs="仿宋_GB2312"/>
          <w:kern w:val="2"/>
          <w:sz w:val="21"/>
          <w:szCs w:val="21"/>
          <w:highlight w:val="none"/>
          <w:lang w:val="en-US" w:eastAsia="zh-CN" w:bidi="ar-SA"/>
        </w:rPr>
        <w:t>四</w:t>
      </w:r>
      <w:r>
        <w:rPr>
          <w:rFonts w:hint="eastAsia" w:ascii="仿宋_GB2312" w:hAnsi="仿宋_GB2312" w:eastAsia="仿宋_GB2312" w:cs="仿宋_GB2312"/>
          <w:kern w:val="2"/>
          <w:sz w:val="21"/>
          <w:szCs w:val="21"/>
          <w:highlight w:val="none"/>
          <w:lang w:val="en-US" w:eastAsia="zh-CN" w:bidi="ar-SA"/>
        </w:rPr>
        <w:t>条和第</w:t>
      </w:r>
      <w:r>
        <w:rPr>
          <w:rFonts w:hint="eastAsia" w:ascii="仿宋_GB2312" w:hAnsi="仿宋_GB2312" w:cs="仿宋_GB2312"/>
          <w:kern w:val="2"/>
          <w:sz w:val="21"/>
          <w:szCs w:val="21"/>
          <w:highlight w:val="none"/>
          <w:lang w:val="en-US" w:eastAsia="zh-CN" w:bidi="ar-SA"/>
        </w:rPr>
        <w:t>五</w:t>
      </w:r>
      <w:r>
        <w:rPr>
          <w:rFonts w:hint="eastAsia" w:ascii="仿宋_GB2312" w:hAnsi="仿宋_GB2312" w:eastAsia="仿宋_GB2312" w:cs="仿宋_GB2312"/>
          <w:kern w:val="2"/>
          <w:sz w:val="21"/>
          <w:szCs w:val="21"/>
          <w:highlight w:val="none"/>
          <w:lang w:val="en-US" w:eastAsia="zh-CN" w:bidi="ar-SA"/>
        </w:rPr>
        <w:t>条约定的标准验收，数量异议在货到验收当日提出，甲乙双方当场处理；质量异议在货到七日内由甲方书面</w:t>
      </w:r>
      <w:r>
        <w:rPr>
          <w:rFonts w:hint="eastAsia" w:ascii="仿宋_GB2312" w:hAnsi="仿宋_GB2312" w:cs="仿宋_GB2312"/>
          <w:kern w:val="2"/>
          <w:sz w:val="21"/>
          <w:szCs w:val="21"/>
          <w:highlight w:val="none"/>
          <w:lang w:val="en-US" w:eastAsia="zh-CN" w:bidi="ar-SA"/>
        </w:rPr>
        <w:t>或者甲方认为合适的方式</w:t>
      </w:r>
      <w:r>
        <w:rPr>
          <w:rFonts w:hint="eastAsia" w:ascii="仿宋_GB2312" w:hAnsi="仿宋_GB2312" w:eastAsia="仿宋_GB2312" w:cs="仿宋_GB2312"/>
          <w:kern w:val="2"/>
          <w:sz w:val="21"/>
          <w:szCs w:val="21"/>
          <w:highlight w:val="none"/>
          <w:lang w:val="en-US" w:eastAsia="zh-CN" w:bidi="ar-SA"/>
        </w:rPr>
        <w:t>提出，乙方在接到通知后24小时内到场处理，如不作回应则视为认同甲方意见</w:t>
      </w:r>
      <w:r>
        <w:rPr>
          <w:rFonts w:hint="eastAsia" w:ascii="仿宋_GB2312" w:hAnsi="仿宋_GB2312" w:cs="仿宋_GB2312"/>
          <w:kern w:val="2"/>
          <w:sz w:val="21"/>
          <w:szCs w:val="21"/>
          <w:highlight w:val="none"/>
          <w:lang w:val="en-US" w:eastAsia="zh-CN" w:bidi="ar-SA"/>
        </w:rPr>
        <w:t>，并于2日内用合格货物予以补换。如产品已用于生产，乙方应配合项目工地进行返工或采取补救措施并承担相应的费用。</w:t>
      </w:r>
    </w:p>
    <w:p>
      <w:pPr>
        <w:keepNext w:val="0"/>
        <w:keepLines w:val="0"/>
        <w:pageBreakBefore w:val="0"/>
        <w:widowControl w:val="0"/>
        <w:numPr>
          <w:ilvl w:val="0"/>
          <w:numId w:val="0"/>
        </w:numPr>
        <w:tabs>
          <w:tab w:val="left" w:pos="5640"/>
        </w:tabs>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七、质量保证期</w:t>
      </w:r>
    </w:p>
    <w:p>
      <w:pPr>
        <w:keepNext w:val="0"/>
        <w:keepLines w:val="0"/>
        <w:pageBreakBefore w:val="0"/>
        <w:widowControl w:val="0"/>
        <w:numPr>
          <w:ilvl w:val="255"/>
          <w:numId w:val="0"/>
        </w:numPr>
        <w:tabs>
          <w:tab w:val="left" w:pos="5640"/>
        </w:tabs>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乙方在实体工程设计使用年限内承担质量责任，如因</w:t>
      </w:r>
      <w:r>
        <w:rPr>
          <w:rFonts w:hint="eastAsia" w:ascii="仿宋_GB2312" w:hAnsi="仿宋_GB2312" w:cs="仿宋_GB2312"/>
          <w:kern w:val="2"/>
          <w:sz w:val="21"/>
          <w:szCs w:val="21"/>
          <w:highlight w:val="none"/>
          <w:lang w:val="en-US" w:eastAsia="zh-CN" w:bidi="ar-SA"/>
        </w:rPr>
        <w:t>钢材</w:t>
      </w:r>
      <w:r>
        <w:rPr>
          <w:rFonts w:hint="eastAsia" w:ascii="仿宋_GB2312" w:hAnsi="仿宋_GB2312" w:eastAsia="仿宋_GB2312" w:cs="仿宋_GB2312"/>
          <w:kern w:val="2"/>
          <w:sz w:val="21"/>
          <w:szCs w:val="21"/>
          <w:highlight w:val="none"/>
          <w:lang w:val="en-US" w:eastAsia="zh-CN" w:bidi="ar-SA"/>
        </w:rPr>
        <w:t>质量问题造成的一切责任，均由乙方承担。</w:t>
      </w:r>
    </w:p>
    <w:p>
      <w:pPr>
        <w:keepNext w:val="0"/>
        <w:keepLines w:val="0"/>
        <w:pageBreakBefore w:val="0"/>
        <w:widowControl w:val="0"/>
        <w:numPr>
          <w:ilvl w:val="0"/>
          <w:numId w:val="0"/>
        </w:numPr>
        <w:tabs>
          <w:tab w:val="left" w:pos="5640"/>
        </w:tabs>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八、税费</w:t>
      </w:r>
    </w:p>
    <w:p>
      <w:pPr>
        <w:keepNext w:val="0"/>
        <w:keepLines w:val="0"/>
        <w:pageBreakBefore w:val="0"/>
        <w:widowControl w:val="0"/>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Cs/>
          <w:kern w:val="2"/>
          <w:sz w:val="21"/>
          <w:szCs w:val="21"/>
          <w:highlight w:val="none"/>
          <w:lang w:val="en-US" w:eastAsia="zh-CN" w:bidi="ar-SA"/>
        </w:rPr>
        <w:t>乙方履行合同过程中的一切税费由乙方承担并按国家有关规定缴纳，合同结算采用</w:t>
      </w:r>
      <w:bookmarkStart w:id="42" w:name="_Hlk60757843"/>
      <w:r>
        <w:rPr>
          <w:rFonts w:hint="eastAsia" w:ascii="仿宋_GB2312" w:hAnsi="仿宋_GB2312" w:eastAsia="仿宋_GB2312" w:cs="仿宋_GB2312"/>
          <w:bCs/>
          <w:kern w:val="2"/>
          <w:sz w:val="21"/>
          <w:szCs w:val="21"/>
          <w:highlight w:val="none"/>
          <w:lang w:val="en-US" w:eastAsia="zh-CN" w:bidi="ar-SA"/>
        </w:rPr>
        <w:t>（</w:t>
      </w:r>
      <w:r>
        <w:rPr>
          <w:rFonts w:hint="eastAsia" w:ascii="仿宋_GB2312" w:hAnsi="仿宋_GB2312" w:eastAsia="仿宋_GB2312" w:cs="仿宋_GB2312"/>
          <w:bCs/>
          <w:kern w:val="2"/>
          <w:sz w:val="21"/>
          <w:szCs w:val="21"/>
          <w:highlight w:val="none"/>
          <w:lang w:val="en-US" w:eastAsia="zh-CN" w:bidi="ar-SA"/>
        </w:rPr>
        <w:sym w:font="Wingdings 2" w:char="0052"/>
      </w:r>
      <w:r>
        <w:rPr>
          <w:rFonts w:hint="eastAsia" w:ascii="仿宋_GB2312" w:hAnsi="仿宋_GB2312" w:eastAsia="仿宋_GB2312" w:cs="仿宋_GB2312"/>
          <w:bCs/>
          <w:kern w:val="2"/>
          <w:sz w:val="21"/>
          <w:szCs w:val="21"/>
          <w:highlight w:val="none"/>
          <w:lang w:val="en-US" w:eastAsia="zh-CN" w:bidi="ar-SA"/>
        </w:rPr>
        <w:t>一票制，增值税专用发票税率为</w:t>
      </w:r>
      <w:r>
        <w:rPr>
          <w:rFonts w:hint="eastAsia" w:ascii="仿宋_GB2312" w:hAnsi="仿宋_GB2312" w:eastAsia="仿宋_GB2312" w:cs="仿宋_GB2312"/>
          <w:bCs/>
          <w:kern w:val="2"/>
          <w:sz w:val="21"/>
          <w:szCs w:val="21"/>
          <w:highlight w:val="none"/>
          <w:u w:val="single"/>
          <w:lang w:val="en-US" w:eastAsia="zh-CN" w:bidi="ar-SA"/>
        </w:rPr>
        <w:t xml:space="preserve"> 13 </w:t>
      </w:r>
      <w:r>
        <w:rPr>
          <w:rFonts w:hint="eastAsia" w:ascii="仿宋_GB2312" w:hAnsi="仿宋_GB2312" w:eastAsia="仿宋_GB2312" w:cs="仿宋_GB2312"/>
          <w:bCs/>
          <w:kern w:val="2"/>
          <w:sz w:val="21"/>
          <w:szCs w:val="21"/>
          <w:highlight w:val="none"/>
          <w:lang w:val="en-US" w:eastAsia="zh-CN" w:bidi="ar-SA"/>
        </w:rPr>
        <w:t>%；□两票制，</w:t>
      </w:r>
      <w:r>
        <w:rPr>
          <w:rFonts w:hint="eastAsia" w:ascii="仿宋_GB2312" w:hAnsi="仿宋_GB2312" w:cs="仿宋_GB2312"/>
          <w:bCs/>
          <w:kern w:val="2"/>
          <w:sz w:val="21"/>
          <w:szCs w:val="21"/>
          <w:highlight w:val="none"/>
          <w:lang w:val="en-US" w:eastAsia="zh-CN" w:bidi="ar-SA"/>
        </w:rPr>
        <w:t>钢材</w:t>
      </w:r>
      <w:r>
        <w:rPr>
          <w:rFonts w:hint="eastAsia" w:ascii="仿宋_GB2312" w:hAnsi="仿宋_GB2312" w:eastAsia="仿宋_GB2312" w:cs="仿宋_GB2312"/>
          <w:bCs/>
          <w:kern w:val="2"/>
          <w:sz w:val="21"/>
          <w:szCs w:val="21"/>
          <w:highlight w:val="none"/>
          <w:lang w:val="en-US" w:eastAsia="zh-CN" w:bidi="ar-SA"/>
        </w:rPr>
        <w:t>费增值税专用发票税率为</w:t>
      </w:r>
      <w:r>
        <w:rPr>
          <w:rFonts w:hint="eastAsia" w:ascii="仿宋_GB2312" w:hAnsi="仿宋_GB2312" w:eastAsia="仿宋_GB2312" w:cs="仿宋_GB2312"/>
          <w:bCs/>
          <w:kern w:val="2"/>
          <w:sz w:val="21"/>
          <w:szCs w:val="21"/>
          <w:highlight w:val="none"/>
          <w:u w:val="single"/>
          <w:lang w:val="en-US" w:eastAsia="zh-CN" w:bidi="ar-SA"/>
        </w:rPr>
        <w:t xml:space="preserve">   </w:t>
      </w:r>
      <w:r>
        <w:rPr>
          <w:rFonts w:hint="eastAsia" w:ascii="仿宋_GB2312" w:hAnsi="仿宋_GB2312" w:eastAsia="仿宋_GB2312" w:cs="仿宋_GB2312"/>
          <w:bCs/>
          <w:kern w:val="2"/>
          <w:sz w:val="21"/>
          <w:szCs w:val="21"/>
          <w:highlight w:val="none"/>
          <w:lang w:val="en-US" w:eastAsia="zh-CN" w:bidi="ar-SA"/>
        </w:rPr>
        <w:t>%，运输费增值税专用发票税率为</w:t>
      </w:r>
      <w:r>
        <w:rPr>
          <w:rFonts w:hint="eastAsia" w:ascii="仿宋_GB2312" w:hAnsi="仿宋_GB2312" w:eastAsia="仿宋_GB2312" w:cs="仿宋_GB2312"/>
          <w:bCs/>
          <w:kern w:val="2"/>
          <w:sz w:val="21"/>
          <w:szCs w:val="21"/>
          <w:highlight w:val="none"/>
          <w:u w:val="single"/>
          <w:lang w:val="en-US" w:eastAsia="zh-CN" w:bidi="ar-SA"/>
        </w:rPr>
        <w:t xml:space="preserve">   </w:t>
      </w:r>
      <w:r>
        <w:rPr>
          <w:rFonts w:hint="eastAsia" w:ascii="仿宋_GB2312" w:hAnsi="仿宋_GB2312" w:eastAsia="仿宋_GB2312" w:cs="仿宋_GB2312"/>
          <w:bCs/>
          <w:kern w:val="2"/>
          <w:sz w:val="21"/>
          <w:szCs w:val="21"/>
          <w:highlight w:val="none"/>
          <w:lang w:val="en-US" w:eastAsia="zh-CN" w:bidi="ar-SA"/>
        </w:rPr>
        <w:t>%），</w:t>
      </w:r>
      <w:bookmarkEnd w:id="42"/>
      <w:r>
        <w:rPr>
          <w:rFonts w:hint="eastAsia" w:ascii="仿宋_GB2312" w:hAnsi="仿宋_GB2312" w:eastAsia="仿宋_GB2312" w:cs="仿宋_GB2312"/>
          <w:bCs/>
          <w:kern w:val="2"/>
          <w:sz w:val="21"/>
          <w:szCs w:val="21"/>
          <w:highlight w:val="none"/>
          <w:lang w:val="en-US" w:eastAsia="zh-CN" w:bidi="ar-SA"/>
        </w:rPr>
        <w:t>在合同执行过程中，如因国家税务政策调整，增值税率发生变化的，保持合同约定不含税金额不变，按新的税率调整增值税税额。</w:t>
      </w:r>
    </w:p>
    <w:p>
      <w:pPr>
        <w:keepNext w:val="0"/>
        <w:keepLines w:val="0"/>
        <w:pageBreakBefore w:val="0"/>
        <w:widowControl w:val="0"/>
        <w:numPr>
          <w:ilvl w:val="0"/>
          <w:numId w:val="0"/>
        </w:numPr>
        <w:tabs>
          <w:tab w:val="left" w:pos="5640"/>
        </w:tabs>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九、结算及付款方式</w:t>
      </w:r>
    </w:p>
    <w:p>
      <w:pPr>
        <w:keepNext w:val="0"/>
        <w:keepLines w:val="0"/>
        <w:pageBreakBefore w:val="0"/>
        <w:widowControl w:val="0"/>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bCs/>
          <w:kern w:val="2"/>
          <w:sz w:val="21"/>
          <w:szCs w:val="21"/>
          <w:highlight w:val="none"/>
          <w:lang w:val="en-US" w:eastAsia="zh-CN" w:bidi="ar-SA"/>
        </w:rPr>
      </w:pPr>
      <w:r>
        <w:rPr>
          <w:rFonts w:hint="eastAsia" w:ascii="仿宋_GB2312" w:hAnsi="仿宋_GB2312" w:eastAsia="仿宋_GB2312" w:cs="仿宋_GB2312"/>
          <w:bCs/>
          <w:kern w:val="2"/>
          <w:sz w:val="21"/>
          <w:szCs w:val="21"/>
          <w:highlight w:val="none"/>
          <w:lang w:val="en-US" w:eastAsia="zh-CN" w:bidi="ar-SA"/>
        </w:rPr>
        <w:t>1、</w:t>
      </w:r>
      <w:r>
        <w:rPr>
          <w:rFonts w:hint="eastAsia" w:ascii="仿宋_GB2312" w:hAnsi="仿宋_GB2312" w:cs="仿宋_GB2312"/>
          <w:bCs/>
          <w:kern w:val="2"/>
          <w:sz w:val="21"/>
          <w:szCs w:val="21"/>
          <w:highlight w:val="none"/>
          <w:lang w:val="en-US" w:eastAsia="zh-CN" w:bidi="ar-SA"/>
        </w:rPr>
        <w:t>货到付款，一票制结算</w:t>
      </w:r>
      <w:r>
        <w:rPr>
          <w:rFonts w:hint="eastAsia" w:ascii="仿宋_GB2312" w:hAnsi="仿宋_GB2312" w:eastAsia="仿宋_GB2312" w:cs="仿宋_GB2312"/>
          <w:bCs/>
          <w:kern w:val="2"/>
          <w:sz w:val="21"/>
          <w:szCs w:val="21"/>
          <w:highlight w:val="none"/>
          <w:lang w:val="en-US" w:eastAsia="zh-CN" w:bidi="ar-SA"/>
        </w:rPr>
        <w:t>。</w:t>
      </w:r>
      <w:r>
        <w:rPr>
          <w:rFonts w:hint="eastAsia" w:ascii="仿宋_GB2312" w:hAnsi="仿宋_GB2312" w:cs="仿宋_GB2312"/>
          <w:bCs/>
          <w:kern w:val="2"/>
          <w:sz w:val="21"/>
          <w:szCs w:val="21"/>
          <w:highlight w:val="none"/>
          <w:lang w:val="en-US" w:eastAsia="zh-CN" w:bidi="ar-SA"/>
        </w:rPr>
        <w:t>结算周期为上月21日至本月20日（根据项目情况同步调整）。</w:t>
      </w:r>
      <w:r>
        <w:rPr>
          <w:rFonts w:hint="eastAsia" w:ascii="仿宋_GB2312" w:hAnsi="仿宋_GB2312" w:eastAsia="仿宋_GB2312" w:cs="仿宋_GB2312"/>
          <w:bCs/>
          <w:kern w:val="2"/>
          <w:sz w:val="21"/>
          <w:szCs w:val="21"/>
          <w:highlight w:val="none"/>
          <w:lang w:val="en-US" w:eastAsia="zh-CN" w:bidi="ar-SA"/>
        </w:rPr>
        <w:t>乙方凭甲方项目签字完善的有效收料单与甲方核对</w:t>
      </w:r>
      <w:r>
        <w:rPr>
          <w:rFonts w:hint="eastAsia" w:ascii="仿宋_GB2312" w:hAnsi="仿宋_GB2312" w:cs="仿宋_GB2312"/>
          <w:bCs/>
          <w:kern w:val="2"/>
          <w:sz w:val="21"/>
          <w:szCs w:val="21"/>
          <w:highlight w:val="none"/>
          <w:lang w:val="en-US" w:eastAsia="zh-CN" w:bidi="ar-SA"/>
        </w:rPr>
        <w:t>该结算周期</w:t>
      </w:r>
      <w:r>
        <w:rPr>
          <w:rFonts w:hint="eastAsia" w:ascii="仿宋_GB2312" w:hAnsi="仿宋_GB2312" w:eastAsia="仿宋_GB2312" w:cs="仿宋_GB2312"/>
          <w:bCs/>
          <w:kern w:val="2"/>
          <w:sz w:val="21"/>
          <w:szCs w:val="21"/>
          <w:highlight w:val="none"/>
          <w:lang w:val="en-US" w:eastAsia="zh-CN" w:bidi="ar-SA"/>
        </w:rPr>
        <w:t>所有物资的收料数量、收货日期及确认结算金额，并按甲方确认的结算金额和要求出具足额合法的</w:t>
      </w:r>
      <w:bookmarkStart w:id="43" w:name="_Hlk57212582"/>
      <w:r>
        <w:rPr>
          <w:rFonts w:hint="eastAsia" w:ascii="仿宋_GB2312" w:hAnsi="仿宋_GB2312" w:eastAsia="仿宋_GB2312" w:cs="仿宋_GB2312"/>
          <w:bCs/>
          <w:kern w:val="2"/>
          <w:sz w:val="21"/>
          <w:szCs w:val="21"/>
          <w:highlight w:val="none"/>
          <w:lang w:val="en-US" w:eastAsia="zh-CN" w:bidi="ar-SA"/>
        </w:rPr>
        <w:t>增值税专用发票</w:t>
      </w:r>
      <w:bookmarkEnd w:id="43"/>
      <w:r>
        <w:rPr>
          <w:rFonts w:hint="eastAsia" w:ascii="仿宋_GB2312" w:hAnsi="仿宋_GB2312" w:eastAsia="仿宋_GB2312" w:cs="仿宋_GB2312"/>
          <w:bCs/>
          <w:kern w:val="2"/>
          <w:sz w:val="21"/>
          <w:szCs w:val="21"/>
          <w:highlight w:val="none"/>
          <w:lang w:val="en-US" w:eastAsia="zh-CN" w:bidi="ar-SA"/>
        </w:rPr>
        <w:t>，与甲方办理当期结算。对账结算资料包含送货单、签收单、对账单等原件，对账单经双方授权人签字并加盖公章，甲方收集齐全上述资料即为对账结算手续办理完毕。</w:t>
      </w:r>
    </w:p>
    <w:p>
      <w:pPr>
        <w:keepNext w:val="0"/>
        <w:keepLines w:val="0"/>
        <w:pageBreakBefore w:val="0"/>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增值税专用发票开票信息如下：</w:t>
      </w:r>
    </w:p>
    <w:p>
      <w:pPr>
        <w:keepNext w:val="0"/>
        <w:keepLines w:val="0"/>
        <w:pageBreakBefore w:val="0"/>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rPr>
        <w:t>单    位   名   称：</w:t>
      </w:r>
      <w:r>
        <w:rPr>
          <w:rFonts w:hint="eastAsia" w:ascii="仿宋_GB2312" w:hAnsi="仿宋_GB2312" w:eastAsia="仿宋_GB2312" w:cs="仿宋_GB2312"/>
          <w:sz w:val="21"/>
          <w:szCs w:val="21"/>
          <w:highlight w:val="none"/>
          <w:u w:val="single"/>
        </w:rPr>
        <w:t xml:space="preserve"> </w:t>
      </w:r>
      <w:r>
        <w:rPr>
          <w:rFonts w:hint="eastAsia" w:ascii="仿宋_GB2312" w:hAnsi="仿宋_GB2312" w:cs="仿宋_GB2312"/>
          <w:sz w:val="21"/>
          <w:szCs w:val="21"/>
          <w:highlight w:val="none"/>
          <w:u w:val="single"/>
          <w:lang w:val="en-US" w:eastAsia="zh-CN"/>
        </w:rPr>
        <w:t>四川蜀物兴川物流发展有限公司</w:t>
      </w:r>
      <w:r>
        <w:rPr>
          <w:rFonts w:hint="eastAsia" w:ascii="仿宋_GB2312" w:hAnsi="仿宋_GB2312" w:eastAsia="仿宋_GB2312" w:cs="仿宋_GB2312"/>
          <w:sz w:val="21"/>
          <w:szCs w:val="21"/>
          <w:highlight w:val="none"/>
          <w:u w:val="single"/>
        </w:rPr>
        <w:t xml:space="preserve">  </w:t>
      </w:r>
    </w:p>
    <w:p>
      <w:pPr>
        <w:keepNext w:val="0"/>
        <w:keepLines w:val="0"/>
        <w:pageBreakBefore w:val="0"/>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纳 税 人 识 别  号：</w:t>
      </w:r>
      <w:r>
        <w:rPr>
          <w:rFonts w:hint="eastAsia" w:ascii="仿宋_GB2312" w:hAnsi="仿宋_GB2312" w:eastAsia="仿宋_GB2312" w:cs="仿宋_GB2312"/>
          <w:sz w:val="21"/>
          <w:szCs w:val="21"/>
          <w:highlight w:val="none"/>
          <w:u w:val="single"/>
        </w:rPr>
        <w:t xml:space="preserve">915101040624153674 </w:t>
      </w:r>
    </w:p>
    <w:p>
      <w:pPr>
        <w:keepNext w:val="0"/>
        <w:keepLines w:val="0"/>
        <w:pageBreakBefore w:val="0"/>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单    位   地   址：</w:t>
      </w:r>
      <w:r>
        <w:rPr>
          <w:rFonts w:hint="eastAsia" w:ascii="仿宋_GB2312" w:hAnsi="仿宋_GB2312" w:eastAsia="仿宋_GB2312" w:cs="仿宋_GB2312"/>
          <w:sz w:val="21"/>
          <w:szCs w:val="21"/>
          <w:highlight w:val="none"/>
          <w:u w:val="single"/>
          <w:lang w:val="en-US" w:eastAsia="zh-CN"/>
        </w:rPr>
        <w:t xml:space="preserve">成都市锦江区工业园区三色路163号2栋22层         </w:t>
      </w:r>
      <w:r>
        <w:rPr>
          <w:rFonts w:hint="eastAsia" w:ascii="仿宋_GB2312" w:hAnsi="仿宋_GB2312" w:eastAsia="仿宋_GB2312" w:cs="仿宋_GB2312"/>
          <w:sz w:val="21"/>
          <w:szCs w:val="21"/>
          <w:highlight w:val="none"/>
          <w:u w:val="single"/>
        </w:rPr>
        <w:t xml:space="preserve">      </w:t>
      </w:r>
    </w:p>
    <w:p>
      <w:pPr>
        <w:keepNext w:val="0"/>
        <w:keepLines w:val="0"/>
        <w:pageBreakBefore w:val="0"/>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              话：</w:t>
      </w:r>
      <w:r>
        <w:rPr>
          <w:rFonts w:hint="eastAsia" w:ascii="仿宋_GB2312" w:hAnsi="仿宋_GB2312" w:eastAsia="仿宋_GB2312" w:cs="仿宋_GB2312"/>
          <w:sz w:val="21"/>
          <w:szCs w:val="21"/>
          <w:highlight w:val="none"/>
          <w:u w:val="single"/>
        </w:rPr>
        <w:t>028-83158057</w:t>
      </w:r>
      <w:r>
        <w:rPr>
          <w:rFonts w:hint="eastAsia" w:ascii="仿宋_GB2312" w:hAnsi="仿宋_GB2312" w:eastAsia="仿宋_GB2312" w:cs="仿宋_GB2312"/>
          <w:sz w:val="21"/>
          <w:szCs w:val="21"/>
          <w:highlight w:val="none"/>
          <w:u w:val="single"/>
          <w:lang w:val="en-US" w:eastAsia="zh-CN"/>
        </w:rPr>
        <w:t xml:space="preserve"> </w:t>
      </w:r>
    </w:p>
    <w:p>
      <w:pPr>
        <w:keepNext w:val="0"/>
        <w:keepLines w:val="0"/>
        <w:pageBreakBefore w:val="0"/>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单位银行账户开户行：</w:t>
      </w:r>
      <w:r>
        <w:rPr>
          <w:rFonts w:hint="eastAsia" w:ascii="仿宋_GB2312" w:hAnsi="仿宋_GB2312" w:eastAsia="仿宋_GB2312" w:cs="仿宋_GB2312"/>
          <w:sz w:val="21"/>
          <w:szCs w:val="21"/>
          <w:highlight w:val="none"/>
          <w:u w:val="single"/>
          <w:lang w:val="en-US" w:eastAsia="zh-CN"/>
        </w:rPr>
        <w:t xml:space="preserve">中国工商银行股份有限公司成都滨江支行 </w:t>
      </w:r>
      <w:r>
        <w:rPr>
          <w:rFonts w:hint="eastAsia" w:ascii="仿宋_GB2312" w:hAnsi="仿宋_GB2312" w:eastAsia="仿宋_GB2312" w:cs="仿宋_GB2312"/>
          <w:sz w:val="21"/>
          <w:szCs w:val="21"/>
          <w:highlight w:val="none"/>
          <w:u w:val="single"/>
        </w:rPr>
        <w:t xml:space="preserve">                   </w:t>
      </w:r>
    </w:p>
    <w:p>
      <w:pPr>
        <w:keepNext w:val="0"/>
        <w:keepLines w:val="0"/>
        <w:pageBreakBefore w:val="0"/>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rPr>
        <w:t>单 位 银  行 账 号：</w:t>
      </w:r>
      <w:r>
        <w:rPr>
          <w:rFonts w:hint="eastAsia" w:ascii="仿宋_GB2312" w:hAnsi="仿宋_GB2312" w:eastAsia="仿宋_GB2312" w:cs="仿宋_GB2312"/>
          <w:sz w:val="21"/>
          <w:szCs w:val="21"/>
          <w:highlight w:val="none"/>
          <w:u w:val="single"/>
          <w:lang w:val="en-US" w:eastAsia="zh-CN"/>
        </w:rPr>
        <w:t xml:space="preserve">4402204009100166669  </w:t>
      </w:r>
    </w:p>
    <w:p>
      <w:pPr>
        <w:keepNext w:val="0"/>
        <w:keepLines w:val="0"/>
        <w:pageBreakBefore w:val="0"/>
        <w:widowControl w:val="0"/>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备              注：</w:t>
      </w:r>
      <w:r>
        <w:rPr>
          <w:rFonts w:hint="eastAsia" w:ascii="仿宋_GB2312" w:hAnsi="仿宋_GB2312" w:eastAsia="仿宋_GB2312" w:cs="仿宋_GB2312"/>
          <w:kern w:val="2"/>
          <w:sz w:val="21"/>
          <w:szCs w:val="21"/>
          <w:highlight w:val="none"/>
          <w:u w:val="single"/>
          <w:lang w:val="en-US" w:eastAsia="zh-CN" w:bidi="ar-SA"/>
        </w:rPr>
        <w:t xml:space="preserve">  </w:t>
      </w:r>
      <w:r>
        <w:rPr>
          <w:rFonts w:hint="eastAsia" w:ascii="仿宋_GB2312" w:hAnsi="仿宋_GB2312" w:cs="仿宋_GB2312"/>
          <w:kern w:val="2"/>
          <w:sz w:val="21"/>
          <w:szCs w:val="21"/>
          <w:highlight w:val="none"/>
          <w:u w:val="single"/>
          <w:lang w:val="en-US" w:eastAsia="zh-CN" w:bidi="ar-SA"/>
        </w:rPr>
        <w:t>/</w:t>
      </w:r>
      <w:r>
        <w:rPr>
          <w:rFonts w:hint="eastAsia" w:ascii="仿宋_GB2312" w:hAnsi="仿宋_GB2312" w:eastAsia="仿宋_GB2312" w:cs="仿宋_GB2312"/>
          <w:kern w:val="2"/>
          <w:sz w:val="21"/>
          <w:szCs w:val="21"/>
          <w:highlight w:val="none"/>
          <w:u w:val="single"/>
          <w:lang w:val="en-US" w:eastAsia="zh-CN" w:bidi="ar-SA"/>
        </w:rPr>
        <w:t xml:space="preserve">  </w:t>
      </w:r>
    </w:p>
    <w:p>
      <w:pPr>
        <w:keepNext w:val="0"/>
        <w:keepLines w:val="0"/>
        <w:pageBreakBefore w:val="0"/>
        <w:widowControl w:val="0"/>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bCs/>
          <w:kern w:val="2"/>
          <w:sz w:val="21"/>
          <w:szCs w:val="21"/>
          <w:highlight w:val="none"/>
          <w:lang w:val="en-US" w:eastAsia="zh-CN" w:bidi="ar-SA"/>
        </w:rPr>
      </w:pPr>
      <w:r>
        <w:rPr>
          <w:rFonts w:hint="eastAsia" w:ascii="仿宋_GB2312" w:hAnsi="仿宋_GB2312" w:eastAsia="仿宋_GB2312" w:cs="仿宋_GB2312"/>
          <w:bCs/>
          <w:kern w:val="2"/>
          <w:sz w:val="21"/>
          <w:szCs w:val="21"/>
          <w:highlight w:val="none"/>
          <w:lang w:val="en-US" w:eastAsia="zh-CN" w:bidi="ar-SA"/>
        </w:rPr>
        <w:t>2.甲方自对账结算完毕之日并收到乙方出具的合法有效的足额增值税专用发票之日起不超过15个工作日，甲方进行付款。如乙方未及时对账并足额提供发票或发票不符合要求，甲方有权拒绝结算及支付，且不承担任何违约责任</w:t>
      </w:r>
      <w:r>
        <w:rPr>
          <w:rFonts w:hint="eastAsia" w:ascii="仿宋_GB2312" w:hAnsi="仿宋_GB2312" w:cs="仿宋_GB2312"/>
          <w:bCs/>
          <w:kern w:val="2"/>
          <w:sz w:val="21"/>
          <w:szCs w:val="21"/>
          <w:highlight w:val="none"/>
          <w:lang w:val="en-US" w:eastAsia="zh-CN" w:bidi="ar-SA"/>
        </w:rPr>
        <w:t>，同时</w:t>
      </w:r>
      <w:r>
        <w:rPr>
          <w:rFonts w:hint="eastAsia" w:ascii="仿宋_GB2312" w:hAnsi="仿宋_GB2312" w:eastAsia="仿宋_GB2312" w:cs="仿宋_GB2312"/>
          <w:bCs/>
          <w:kern w:val="2"/>
          <w:sz w:val="21"/>
          <w:szCs w:val="21"/>
          <w:highlight w:val="none"/>
          <w:lang w:val="en-US" w:eastAsia="zh-CN" w:bidi="ar-SA"/>
        </w:rPr>
        <w:t>乙方同意给予</w:t>
      </w:r>
      <w:r>
        <w:rPr>
          <w:rFonts w:hint="eastAsia" w:ascii="仿宋_GB2312" w:hAnsi="仿宋_GB2312" w:eastAsia="仿宋_GB2312" w:cs="仿宋_GB2312"/>
          <w:b/>
          <w:bCs w:val="0"/>
          <w:kern w:val="2"/>
          <w:sz w:val="21"/>
          <w:szCs w:val="21"/>
          <w:highlight w:val="none"/>
          <w:u w:val="single"/>
          <w:lang w:val="en-US" w:eastAsia="zh-CN" w:bidi="ar-SA"/>
        </w:rPr>
        <w:t xml:space="preserve"> </w:t>
      </w:r>
      <w:r>
        <w:rPr>
          <w:rFonts w:hint="eastAsia" w:ascii="仿宋_GB2312" w:hAnsi="仿宋_GB2312" w:cs="仿宋_GB2312"/>
          <w:b/>
          <w:bCs w:val="0"/>
          <w:kern w:val="2"/>
          <w:sz w:val="21"/>
          <w:szCs w:val="21"/>
          <w:highlight w:val="none"/>
          <w:u w:val="single"/>
          <w:lang w:val="en-US" w:eastAsia="zh-CN" w:bidi="ar-SA"/>
        </w:rPr>
        <w:t>1</w:t>
      </w:r>
      <w:r>
        <w:rPr>
          <w:rFonts w:hint="eastAsia" w:ascii="仿宋_GB2312" w:hAnsi="仿宋_GB2312" w:eastAsia="仿宋_GB2312" w:cs="仿宋_GB2312"/>
          <w:b/>
          <w:bCs w:val="0"/>
          <w:kern w:val="2"/>
          <w:sz w:val="21"/>
          <w:szCs w:val="21"/>
          <w:highlight w:val="none"/>
          <w:u w:val="single"/>
          <w:lang w:val="en-US" w:eastAsia="zh-CN" w:bidi="ar-SA"/>
        </w:rPr>
        <w:t>个月</w:t>
      </w:r>
      <w:r>
        <w:rPr>
          <w:rFonts w:hint="eastAsia" w:ascii="仿宋_GB2312" w:hAnsi="仿宋_GB2312" w:cs="仿宋_GB2312"/>
          <w:b/>
          <w:bCs w:val="0"/>
          <w:kern w:val="2"/>
          <w:sz w:val="21"/>
          <w:szCs w:val="21"/>
          <w:highlight w:val="none"/>
          <w:u w:val="single"/>
          <w:lang w:val="en-US" w:eastAsia="zh-CN" w:bidi="ar-SA"/>
        </w:rPr>
        <w:t xml:space="preserve"> </w:t>
      </w:r>
      <w:r>
        <w:rPr>
          <w:rFonts w:hint="eastAsia" w:ascii="仿宋_GB2312" w:hAnsi="仿宋_GB2312" w:eastAsia="仿宋_GB2312" w:cs="仿宋_GB2312"/>
          <w:bCs/>
          <w:kern w:val="2"/>
          <w:sz w:val="21"/>
          <w:szCs w:val="21"/>
          <w:highlight w:val="none"/>
          <w:lang w:val="en-US" w:eastAsia="zh-CN" w:bidi="ar-SA"/>
        </w:rPr>
        <w:t>的付款宽限期，在此宽限期间内不视为甲方违约且不计息。乙方给予理解，承诺不因此主张逾期利息等违约责任且乙方不得以此为由中断本项目的货物供应.</w:t>
      </w:r>
    </w:p>
    <w:p>
      <w:pPr>
        <w:keepNext w:val="0"/>
        <w:keepLines w:val="0"/>
        <w:pageBreakBefore w:val="0"/>
        <w:widowControl w:val="0"/>
        <w:wordWrap/>
        <w:overflowPunct/>
        <w:topLinePunct w:val="0"/>
        <w:bidi w:val="0"/>
        <w:spacing w:line="520" w:lineRule="exact"/>
        <w:ind w:left="0" w:leftChars="0" w:firstLine="420" w:firstLineChars="200"/>
        <w:jc w:val="both"/>
        <w:outlineLvl w:val="9"/>
        <w:rPr>
          <w:rFonts w:hint="default" w:ascii="仿宋_GB2312" w:hAnsi="仿宋_GB2312" w:eastAsia="仿宋_GB2312" w:cs="仿宋_GB2312"/>
          <w:bCs/>
          <w:kern w:val="2"/>
          <w:sz w:val="21"/>
          <w:szCs w:val="21"/>
          <w:highlight w:val="none"/>
          <w:lang w:val="en-US" w:eastAsia="zh-CN" w:bidi="ar-SA"/>
        </w:rPr>
      </w:pPr>
      <w:r>
        <w:rPr>
          <w:rFonts w:hint="eastAsia" w:ascii="仿宋_GB2312" w:hAnsi="仿宋_GB2312" w:eastAsia="仿宋_GB2312" w:cs="仿宋_GB2312"/>
          <w:bCs/>
          <w:kern w:val="2"/>
          <w:sz w:val="21"/>
          <w:szCs w:val="21"/>
          <w:highlight w:val="none"/>
          <w:lang w:val="en-US" w:eastAsia="zh-CN" w:bidi="ar-SA"/>
        </w:rPr>
        <w:t>3.支付方式：现款(银行转账)、银行承兑汇票、云信、E信通。</w:t>
      </w:r>
      <w:r>
        <w:rPr>
          <w:rFonts w:hint="eastAsia" w:ascii="仿宋_GB2312" w:hAnsi="仿宋_GB2312" w:cs="仿宋_GB2312"/>
          <w:kern w:val="2"/>
          <w:sz w:val="21"/>
          <w:szCs w:val="21"/>
          <w:highlight w:val="none"/>
          <w:lang w:val="en-US" w:eastAsia="zh-CN" w:bidi="ar-SA"/>
        </w:rPr>
        <w:t>甲方以银行承兑汇票、云信、E信通进行货款支付的，</w:t>
      </w:r>
      <w:r>
        <w:rPr>
          <w:rFonts w:hint="eastAsia" w:ascii="仿宋_GB2312" w:hAnsi="仿宋_GB2312" w:cs="仿宋_GB2312"/>
          <w:b/>
          <w:bCs/>
          <w:kern w:val="2"/>
          <w:sz w:val="21"/>
          <w:szCs w:val="21"/>
          <w:highlight w:val="none"/>
          <w:lang w:val="en-US" w:eastAsia="zh-CN" w:bidi="ar-SA"/>
        </w:rPr>
        <w:t>由乙方承担贴息费用。</w:t>
      </w:r>
    </w:p>
    <w:p>
      <w:pPr>
        <w:keepNext w:val="0"/>
        <w:keepLines w:val="0"/>
        <w:pageBreakBefore w:val="0"/>
        <w:widowControl w:val="0"/>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bCs/>
          <w:kern w:val="2"/>
          <w:sz w:val="21"/>
          <w:szCs w:val="21"/>
          <w:highlight w:val="none"/>
          <w:lang w:val="en-US" w:eastAsia="zh-CN" w:bidi="ar-SA"/>
        </w:rPr>
      </w:pPr>
      <w:r>
        <w:rPr>
          <w:rFonts w:hint="eastAsia" w:ascii="仿宋_GB2312" w:hAnsi="仿宋_GB2312" w:eastAsia="仿宋_GB2312" w:cs="仿宋_GB2312"/>
          <w:bCs/>
          <w:kern w:val="2"/>
          <w:sz w:val="21"/>
          <w:szCs w:val="21"/>
          <w:highlight w:val="none"/>
          <w:lang w:val="en-US" w:eastAsia="zh-CN" w:bidi="ar-SA"/>
        </w:rPr>
        <w:t>以上付款均以转账方式汇至乙方合同约定账户。</w:t>
      </w:r>
    </w:p>
    <w:p>
      <w:pPr>
        <w:keepNext w:val="0"/>
        <w:keepLines w:val="0"/>
        <w:pageBreakBefore w:val="0"/>
        <w:tabs>
          <w:tab w:val="left" w:pos="5640"/>
        </w:tabs>
        <w:wordWrap/>
        <w:overflowPunct/>
        <w:topLinePunct w:val="0"/>
        <w:bidi w:val="0"/>
        <w:spacing w:line="520" w:lineRule="exact"/>
        <w:ind w:left="0" w:leftChars="0" w:firstLine="420" w:firstLineChars="200"/>
        <w:jc w:val="both"/>
        <w:outlineLvl w:val="9"/>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开户行：</w:t>
      </w:r>
      <w:r>
        <w:rPr>
          <w:rFonts w:hint="eastAsia" w:ascii="仿宋_GB2312" w:hAnsi="仿宋_GB2312" w:eastAsia="仿宋_GB2312" w:cs="仿宋_GB2312"/>
          <w:sz w:val="21"/>
          <w:szCs w:val="21"/>
          <w:highlight w:val="none"/>
          <w:u w:val="single"/>
        </w:rPr>
        <w:t xml:space="preserve">       </w:t>
      </w:r>
      <w:r>
        <w:rPr>
          <w:rFonts w:hint="eastAsia" w:ascii="仿宋_GB2312" w:hAnsi="仿宋_GB2312" w:cs="仿宋_GB2312"/>
          <w:sz w:val="21"/>
          <w:szCs w:val="21"/>
          <w:highlight w:val="none"/>
          <w:u w:val="single"/>
          <w:lang w:val="en-US" w:eastAsia="zh-CN"/>
        </w:rPr>
        <w:t xml:space="preserve">                      </w:t>
      </w:r>
    </w:p>
    <w:p>
      <w:pPr>
        <w:keepNext w:val="0"/>
        <w:keepLines w:val="0"/>
        <w:pageBreakBefore w:val="0"/>
        <w:tabs>
          <w:tab w:val="left" w:pos="5640"/>
        </w:tabs>
        <w:wordWrap/>
        <w:overflowPunct/>
        <w:topLinePunct w:val="0"/>
        <w:bidi w:val="0"/>
        <w:spacing w:line="520" w:lineRule="exact"/>
        <w:ind w:left="0" w:leftChars="0" w:firstLine="420" w:firstLineChars="200"/>
        <w:jc w:val="both"/>
        <w:outlineLvl w:val="9"/>
        <w:rPr>
          <w:rFonts w:hint="default" w:ascii="仿宋_GB2312" w:hAnsi="仿宋_GB2312" w:eastAsia="仿宋_GB2312" w:cs="仿宋_GB2312"/>
          <w:sz w:val="21"/>
          <w:szCs w:val="21"/>
          <w:highlight w:val="none"/>
          <w:u w:val="single"/>
          <w:lang w:val="en-US" w:eastAsia="zh-CN"/>
        </w:rPr>
      </w:pPr>
      <w:r>
        <w:rPr>
          <w:rFonts w:hint="eastAsia" w:ascii="仿宋_GB2312" w:hAnsi="仿宋_GB2312" w:eastAsia="仿宋_GB2312" w:cs="仿宋_GB2312"/>
          <w:sz w:val="21"/>
          <w:szCs w:val="21"/>
          <w:highlight w:val="none"/>
        </w:rPr>
        <w:t>账  户：</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u w:val="single"/>
          <w:lang w:val="en-US" w:eastAsia="zh-CN"/>
        </w:rPr>
        <w:t xml:space="preserve">  </w:t>
      </w:r>
      <w:r>
        <w:rPr>
          <w:rFonts w:hint="eastAsia" w:ascii="仿宋_GB2312" w:hAnsi="仿宋_GB2312" w:eastAsia="仿宋_GB2312" w:cs="仿宋_GB2312"/>
          <w:sz w:val="21"/>
          <w:szCs w:val="21"/>
          <w:highlight w:val="none"/>
          <w:u w:val="single"/>
        </w:rPr>
        <w:t xml:space="preserve">  </w:t>
      </w:r>
      <w:r>
        <w:rPr>
          <w:rFonts w:hint="eastAsia" w:ascii="仿宋_GB2312" w:hAnsi="仿宋_GB2312" w:cs="仿宋_GB2312"/>
          <w:sz w:val="21"/>
          <w:szCs w:val="21"/>
          <w:highlight w:val="none"/>
          <w:u w:val="single"/>
          <w:lang w:val="en-US" w:eastAsia="zh-CN"/>
        </w:rPr>
        <w:t xml:space="preserve">                      </w:t>
      </w:r>
    </w:p>
    <w:p>
      <w:pPr>
        <w:keepNext w:val="0"/>
        <w:keepLines w:val="0"/>
        <w:pageBreakBefore w:val="0"/>
        <w:tabs>
          <w:tab w:val="left" w:pos="5640"/>
        </w:tabs>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账  号</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u w:val="single"/>
        </w:rPr>
        <w:t xml:space="preserve">     </w:t>
      </w:r>
      <w:r>
        <w:rPr>
          <w:rFonts w:hint="eastAsia" w:ascii="仿宋_GB2312" w:hAnsi="仿宋_GB2312" w:cs="仿宋_GB2312"/>
          <w:sz w:val="21"/>
          <w:szCs w:val="21"/>
          <w:highlight w:val="none"/>
          <w:u w:val="single"/>
          <w:lang w:val="en-US" w:eastAsia="zh-CN"/>
        </w:rPr>
        <w:t xml:space="preserve">                       </w:t>
      </w:r>
      <w:r>
        <w:rPr>
          <w:rFonts w:hint="eastAsia" w:ascii="仿宋_GB2312" w:hAnsi="仿宋_GB2312" w:eastAsia="仿宋_GB2312" w:cs="仿宋_GB2312"/>
          <w:sz w:val="21"/>
          <w:szCs w:val="21"/>
          <w:highlight w:val="none"/>
          <w:u w:val="single"/>
        </w:rPr>
        <w:t xml:space="preserve"> </w:t>
      </w:r>
    </w:p>
    <w:p>
      <w:pPr>
        <w:keepNext w:val="0"/>
        <w:keepLines w:val="0"/>
        <w:pageBreakBefore w:val="0"/>
        <w:widowControl w:val="0"/>
        <w:numPr>
          <w:ilvl w:val="0"/>
          <w:numId w:val="0"/>
        </w:numPr>
        <w:tabs>
          <w:tab w:val="left" w:pos="5640"/>
        </w:tabs>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十、包装标准及包装物的回收</w:t>
      </w:r>
    </w:p>
    <w:p>
      <w:pPr>
        <w:keepNext w:val="0"/>
        <w:keepLines w:val="0"/>
        <w:pageBreakBefore w:val="0"/>
        <w:widowControl w:val="0"/>
        <w:numPr>
          <w:ilvl w:val="1"/>
          <w:numId w:val="0"/>
        </w:numPr>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十一、</w:t>
      </w:r>
      <w:r>
        <w:rPr>
          <w:rFonts w:hint="eastAsia" w:ascii="仿宋_GB2312" w:hAnsi="仿宋_GB2312" w:eastAsia="仿宋_GB2312" w:cs="仿宋_GB2312"/>
          <w:kern w:val="2"/>
          <w:sz w:val="21"/>
          <w:szCs w:val="21"/>
          <w:highlight w:val="none"/>
          <w:lang w:val="en-US" w:eastAsia="zh-CN" w:bidi="ar-SA"/>
        </w:rPr>
        <w:t>按照国家标准执行，包装物不回收。</w:t>
      </w:r>
    </w:p>
    <w:p>
      <w:pPr>
        <w:keepNext w:val="0"/>
        <w:keepLines w:val="0"/>
        <w:pageBreakBefore w:val="0"/>
        <w:widowControl w:val="0"/>
        <w:numPr>
          <w:ilvl w:val="1"/>
          <w:numId w:val="0"/>
        </w:numPr>
        <w:tabs>
          <w:tab w:val="left" w:pos="5640"/>
        </w:tabs>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bookmarkStart w:id="44" w:name="_Hlk57043092"/>
      <w:r>
        <w:rPr>
          <w:rFonts w:hint="eastAsia" w:ascii="仿宋_GB2312" w:hAnsi="仿宋_GB2312" w:eastAsia="仿宋_GB2312" w:cs="仿宋_GB2312"/>
          <w:b/>
          <w:spacing w:val="2"/>
          <w:kern w:val="2"/>
          <w:sz w:val="21"/>
          <w:szCs w:val="21"/>
          <w:highlight w:val="none"/>
          <w:lang w:val="en-US" w:eastAsia="zh-CN" w:bidi="ar-SA"/>
        </w:rPr>
        <w:t>十二、不可抗力</w:t>
      </w:r>
    </w:p>
    <w:p>
      <w:pPr>
        <w:keepNext w:val="0"/>
        <w:keepLines w:val="0"/>
        <w:pageBreakBefore w:val="0"/>
        <w:widowControl w:val="0"/>
        <w:tabs>
          <w:tab w:val="left" w:pos="5640"/>
        </w:tabs>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bCs/>
          <w:spacing w:val="2"/>
          <w:kern w:val="2"/>
          <w:sz w:val="21"/>
          <w:szCs w:val="21"/>
          <w:highlight w:val="none"/>
          <w:lang w:val="en-US" w:eastAsia="zh-CN" w:bidi="ar-SA"/>
        </w:rPr>
      </w:pPr>
      <w:r>
        <w:rPr>
          <w:rFonts w:hint="eastAsia" w:ascii="仿宋_GB2312" w:hAnsi="仿宋_GB2312" w:eastAsia="仿宋_GB2312" w:cs="仿宋_GB2312"/>
          <w:bCs/>
          <w:spacing w:val="2"/>
          <w:kern w:val="2"/>
          <w:sz w:val="21"/>
          <w:szCs w:val="21"/>
          <w:highlight w:val="none"/>
          <w:lang w:val="en-US" w:eastAsia="zh-CN" w:bidi="ar-SA"/>
        </w:rPr>
        <w:t>1、不可抗力是指合同当事人不能预见、不能避免、不能克服的事件，包括自然灾害、非甲方和最终用户原因造成的工程停工停建和重大设计变更。</w:t>
      </w:r>
    </w:p>
    <w:p>
      <w:pPr>
        <w:keepNext w:val="0"/>
        <w:keepLines w:val="0"/>
        <w:pageBreakBefore w:val="0"/>
        <w:widowControl w:val="0"/>
        <w:tabs>
          <w:tab w:val="left" w:pos="5640"/>
        </w:tabs>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bCs/>
          <w:spacing w:val="2"/>
          <w:kern w:val="2"/>
          <w:sz w:val="21"/>
          <w:szCs w:val="21"/>
          <w:highlight w:val="none"/>
          <w:lang w:val="en-US" w:eastAsia="zh-CN" w:bidi="ar-SA"/>
        </w:rPr>
      </w:pPr>
      <w:r>
        <w:rPr>
          <w:rFonts w:hint="eastAsia" w:ascii="仿宋_GB2312" w:hAnsi="仿宋_GB2312" w:eastAsia="仿宋_GB2312" w:cs="仿宋_GB2312"/>
          <w:bCs/>
          <w:spacing w:val="2"/>
          <w:kern w:val="2"/>
          <w:sz w:val="21"/>
          <w:szCs w:val="21"/>
          <w:highlight w:val="none"/>
          <w:lang w:val="en-US" w:eastAsia="zh-CN" w:bidi="ar-SA"/>
        </w:rPr>
        <w:t>2、遇有不可抗力的一方，应在三日内将事件的情况以书面形式通知另一方，并在事件发生后十日内，向另一方提交合同不能履行或部分不能履行或需要延期履行理由的报告。</w:t>
      </w:r>
    </w:p>
    <w:p>
      <w:pPr>
        <w:keepNext w:val="0"/>
        <w:keepLines w:val="0"/>
        <w:pageBreakBefore w:val="0"/>
        <w:widowControl w:val="0"/>
        <w:tabs>
          <w:tab w:val="left" w:pos="5640"/>
        </w:tabs>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bCs/>
          <w:spacing w:val="2"/>
          <w:kern w:val="2"/>
          <w:sz w:val="21"/>
          <w:szCs w:val="21"/>
          <w:highlight w:val="none"/>
          <w:lang w:val="en-US" w:eastAsia="zh-CN" w:bidi="ar-SA"/>
        </w:rPr>
      </w:pPr>
      <w:r>
        <w:rPr>
          <w:rFonts w:hint="eastAsia" w:ascii="仿宋_GB2312" w:hAnsi="仿宋_GB2312" w:eastAsia="仿宋_GB2312" w:cs="仿宋_GB2312"/>
          <w:bCs/>
          <w:spacing w:val="2"/>
          <w:kern w:val="2"/>
          <w:sz w:val="21"/>
          <w:szCs w:val="21"/>
          <w:highlight w:val="none"/>
          <w:lang w:val="en-US" w:eastAsia="zh-CN" w:bidi="ar-SA"/>
        </w:rPr>
        <w:t>3、不可抗力事件结束后可以继续履行全部或者部分合同的，应当继续履行；不能继续履行的，合同终止。因不可抗力事件造成的损失由受损失一方承担。</w:t>
      </w:r>
    </w:p>
    <w:p>
      <w:pPr>
        <w:keepNext w:val="0"/>
        <w:keepLines w:val="0"/>
        <w:pageBreakBefore w:val="0"/>
        <w:widowControl w:val="0"/>
        <w:numPr>
          <w:ilvl w:val="1"/>
          <w:numId w:val="0"/>
        </w:numPr>
        <w:tabs>
          <w:tab w:val="left" w:pos="5640"/>
        </w:tabs>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十三、合同的变更与解除</w:t>
      </w:r>
    </w:p>
    <w:p>
      <w:pPr>
        <w:keepNext w:val="0"/>
        <w:keepLines w:val="0"/>
        <w:pageBreakBefore w:val="0"/>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spacing w:val="2"/>
          <w:sz w:val="21"/>
          <w:szCs w:val="21"/>
          <w:highlight w:val="none"/>
        </w:rPr>
      </w:pPr>
      <w:r>
        <w:rPr>
          <w:rFonts w:hint="eastAsia" w:ascii="仿宋_GB2312" w:hAnsi="仿宋_GB2312" w:eastAsia="仿宋_GB2312" w:cs="仿宋_GB2312"/>
          <w:spacing w:val="2"/>
          <w:sz w:val="21"/>
          <w:szCs w:val="21"/>
          <w:highlight w:val="none"/>
        </w:rPr>
        <w:t>（一）经双方协商一致可以变更或解除合同。</w:t>
      </w:r>
    </w:p>
    <w:p>
      <w:pPr>
        <w:keepNext w:val="0"/>
        <w:keepLines w:val="0"/>
        <w:pageBreakBefore w:val="0"/>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spacing w:val="2"/>
          <w:sz w:val="21"/>
          <w:szCs w:val="21"/>
          <w:highlight w:val="none"/>
        </w:rPr>
      </w:pPr>
      <w:r>
        <w:rPr>
          <w:rFonts w:hint="eastAsia" w:ascii="仿宋_GB2312" w:hAnsi="仿宋_GB2312" w:eastAsia="仿宋_GB2312" w:cs="仿宋_GB2312"/>
          <w:spacing w:val="2"/>
          <w:sz w:val="21"/>
          <w:szCs w:val="21"/>
          <w:highlight w:val="none"/>
        </w:rPr>
        <w:t>（二）发生下列情形之一的，可以解除合同。</w:t>
      </w:r>
    </w:p>
    <w:p>
      <w:pPr>
        <w:keepNext w:val="0"/>
        <w:keepLines w:val="0"/>
        <w:pageBreakBefore w:val="0"/>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spacing w:val="2"/>
          <w:sz w:val="21"/>
          <w:szCs w:val="21"/>
          <w:highlight w:val="none"/>
        </w:rPr>
      </w:pPr>
      <w:r>
        <w:rPr>
          <w:rFonts w:hint="eastAsia" w:ascii="仿宋_GB2312" w:hAnsi="仿宋_GB2312" w:eastAsia="仿宋_GB2312" w:cs="仿宋_GB2312"/>
          <w:spacing w:val="2"/>
          <w:sz w:val="21"/>
          <w:szCs w:val="21"/>
          <w:highlight w:val="none"/>
        </w:rPr>
        <w:t>1、因不可抗力致使合同不能履行。</w:t>
      </w:r>
    </w:p>
    <w:p>
      <w:pPr>
        <w:keepNext w:val="0"/>
        <w:keepLines w:val="0"/>
        <w:pageBreakBefore w:val="0"/>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spacing w:val="2"/>
          <w:sz w:val="21"/>
          <w:szCs w:val="21"/>
          <w:highlight w:val="none"/>
        </w:rPr>
      </w:pPr>
      <w:r>
        <w:rPr>
          <w:rFonts w:hint="eastAsia" w:ascii="仿宋_GB2312" w:hAnsi="仿宋_GB2312" w:eastAsia="仿宋_GB2312" w:cs="仿宋_GB2312"/>
          <w:spacing w:val="2"/>
          <w:sz w:val="21"/>
          <w:szCs w:val="21"/>
          <w:highlight w:val="none"/>
        </w:rPr>
        <w:t>2、乙方未按计划期限供货，经催告（可自行协商约定）</w:t>
      </w:r>
      <w:r>
        <w:rPr>
          <w:rFonts w:hint="eastAsia" w:ascii="仿宋_GB2312" w:hAnsi="仿宋_GB2312" w:eastAsia="仿宋_GB2312" w:cs="仿宋_GB2312"/>
          <w:spacing w:val="2"/>
          <w:sz w:val="21"/>
          <w:szCs w:val="21"/>
          <w:highlight w:val="none"/>
          <w:u w:val="single"/>
        </w:rPr>
        <w:t xml:space="preserve"> </w:t>
      </w:r>
      <w:r>
        <w:rPr>
          <w:rFonts w:hint="eastAsia" w:ascii="仿宋_GB2312" w:hAnsi="仿宋_GB2312" w:eastAsia="仿宋_GB2312" w:cs="仿宋_GB2312"/>
          <w:spacing w:val="2"/>
          <w:sz w:val="21"/>
          <w:szCs w:val="21"/>
          <w:highlight w:val="none"/>
          <w:u w:val="single"/>
          <w:lang w:val="en-US" w:eastAsia="zh-CN"/>
        </w:rPr>
        <w:t>3</w:t>
      </w:r>
      <w:r>
        <w:rPr>
          <w:rFonts w:hint="eastAsia" w:ascii="仿宋_GB2312" w:hAnsi="仿宋_GB2312" w:eastAsia="仿宋_GB2312" w:cs="仿宋_GB2312"/>
          <w:spacing w:val="2"/>
          <w:sz w:val="21"/>
          <w:szCs w:val="21"/>
          <w:highlight w:val="none"/>
          <w:u w:val="single"/>
        </w:rPr>
        <w:t xml:space="preserve"> </w:t>
      </w:r>
      <w:r>
        <w:rPr>
          <w:rFonts w:hint="eastAsia" w:ascii="仿宋_GB2312" w:hAnsi="仿宋_GB2312" w:eastAsia="仿宋_GB2312" w:cs="仿宋_GB2312"/>
          <w:spacing w:val="2"/>
          <w:sz w:val="21"/>
          <w:szCs w:val="21"/>
          <w:highlight w:val="none"/>
        </w:rPr>
        <w:t>次仍未交货，甲方有权解除合同。</w:t>
      </w:r>
    </w:p>
    <w:p>
      <w:pPr>
        <w:keepNext w:val="0"/>
        <w:keepLines w:val="0"/>
        <w:pageBreakBefore w:val="0"/>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spacing w:val="2"/>
          <w:sz w:val="21"/>
          <w:szCs w:val="21"/>
          <w:highlight w:val="none"/>
        </w:rPr>
      </w:pPr>
      <w:r>
        <w:rPr>
          <w:rFonts w:hint="eastAsia" w:ascii="仿宋_GB2312" w:hAnsi="仿宋_GB2312" w:eastAsia="仿宋_GB2312" w:cs="仿宋_GB2312"/>
          <w:spacing w:val="2"/>
          <w:sz w:val="21"/>
          <w:szCs w:val="21"/>
          <w:highlight w:val="none"/>
        </w:rPr>
        <w:t>3、乙方明确表示不履行合同义务或乙方所交付的任何一批货物质量不符合双方的质量约定，在甲方要求的时间内未完成更换，甲方有权解除合同。</w:t>
      </w:r>
    </w:p>
    <w:p>
      <w:pPr>
        <w:keepNext w:val="0"/>
        <w:keepLines w:val="0"/>
        <w:pageBreakBefore w:val="0"/>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spacing w:val="2"/>
          <w:sz w:val="21"/>
          <w:szCs w:val="21"/>
          <w:highlight w:val="none"/>
        </w:rPr>
      </w:pPr>
      <w:r>
        <w:rPr>
          <w:rFonts w:hint="eastAsia" w:ascii="仿宋_GB2312" w:hAnsi="仿宋_GB2312" w:eastAsia="仿宋_GB2312" w:cs="仿宋_GB2312"/>
          <w:spacing w:val="2"/>
          <w:sz w:val="21"/>
          <w:szCs w:val="21"/>
          <w:highlight w:val="none"/>
        </w:rPr>
        <w:t>4、未经甲方书面同意，乙方不得将本合同的权利义务转让给任何第三方，否则甲方有权解除合同。</w:t>
      </w:r>
    </w:p>
    <w:p>
      <w:pPr>
        <w:keepNext w:val="0"/>
        <w:keepLines w:val="0"/>
        <w:pageBreakBefore w:val="0"/>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spacing w:val="2"/>
          <w:sz w:val="21"/>
          <w:szCs w:val="21"/>
          <w:highlight w:val="none"/>
        </w:rPr>
      </w:pPr>
      <w:r>
        <w:rPr>
          <w:rFonts w:hint="eastAsia" w:ascii="仿宋_GB2312" w:hAnsi="仿宋_GB2312" w:eastAsia="仿宋_GB2312" w:cs="仿宋_GB2312"/>
          <w:spacing w:val="2"/>
          <w:sz w:val="21"/>
          <w:szCs w:val="21"/>
          <w:highlight w:val="none"/>
        </w:rPr>
        <w:t>（三）合同变更或解除，不免除违约方应承担的违约责任。</w:t>
      </w:r>
    </w:p>
    <w:p>
      <w:pPr>
        <w:keepNext w:val="0"/>
        <w:keepLines w:val="0"/>
        <w:pageBreakBefore w:val="0"/>
        <w:widowControl w:val="0"/>
        <w:numPr>
          <w:ilvl w:val="1"/>
          <w:numId w:val="0"/>
        </w:numPr>
        <w:tabs>
          <w:tab w:val="left" w:pos="5640"/>
        </w:tabs>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十四、违约责任</w:t>
      </w:r>
    </w:p>
    <w:p>
      <w:pPr>
        <w:keepNext w:val="0"/>
        <w:keepLines w:val="0"/>
        <w:pageBreakBefore w:val="0"/>
        <w:numPr>
          <w:ilvl w:val="0"/>
          <w:numId w:val="0"/>
        </w:numPr>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bCs/>
          <w:spacing w:val="2"/>
          <w:sz w:val="21"/>
          <w:szCs w:val="21"/>
          <w:highlight w:val="none"/>
        </w:rPr>
      </w:pPr>
      <w:r>
        <w:rPr>
          <w:rFonts w:hint="eastAsia" w:ascii="仿宋_GB2312" w:hAnsi="仿宋_GB2312" w:eastAsia="仿宋_GB2312" w:cs="仿宋_GB2312"/>
          <w:bCs/>
          <w:spacing w:val="2"/>
          <w:kern w:val="2"/>
          <w:sz w:val="21"/>
          <w:szCs w:val="21"/>
          <w:highlight w:val="none"/>
          <w:lang w:val="en-US" w:eastAsia="zh-CN" w:bidi="ar-SA"/>
        </w:rPr>
        <w:t>1、</w:t>
      </w:r>
      <w:r>
        <w:rPr>
          <w:rFonts w:hint="eastAsia" w:ascii="仿宋_GB2312" w:hAnsi="仿宋_GB2312" w:eastAsia="仿宋_GB2312" w:cs="仿宋_GB2312"/>
          <w:spacing w:val="2"/>
          <w:sz w:val="21"/>
          <w:szCs w:val="21"/>
          <w:highlight w:val="none"/>
        </w:rPr>
        <w:t>若乙方不能按用料计划供货或货物不符合质量要求，</w:t>
      </w:r>
      <w:r>
        <w:rPr>
          <w:rFonts w:hint="eastAsia" w:ascii="仿宋_GB2312" w:hAnsi="仿宋_GB2312" w:eastAsia="仿宋_GB2312" w:cs="仿宋_GB2312"/>
          <w:bCs/>
          <w:spacing w:val="2"/>
          <w:sz w:val="21"/>
          <w:szCs w:val="21"/>
          <w:highlight w:val="none"/>
        </w:rPr>
        <w:t>乙方应按照合格材料对应价款的3倍支付甲方违约金，还</w:t>
      </w:r>
      <w:r>
        <w:rPr>
          <w:rFonts w:hint="eastAsia" w:ascii="仿宋_GB2312" w:hAnsi="仿宋_GB2312" w:eastAsia="仿宋_GB2312" w:cs="仿宋_GB2312"/>
          <w:spacing w:val="2"/>
          <w:sz w:val="21"/>
          <w:szCs w:val="21"/>
          <w:highlight w:val="none"/>
        </w:rPr>
        <w:t>应赔偿由此给甲方造成的一切直接、间接损失。</w:t>
      </w:r>
    </w:p>
    <w:p>
      <w:pPr>
        <w:spacing w:line="500" w:lineRule="exact"/>
        <w:ind w:firstLine="428" w:firstLineChars="200"/>
        <w:rPr>
          <w:rFonts w:hint="eastAsia" w:ascii="仿宋_GB2312" w:hAnsi="仿宋_GB2312" w:cs="仿宋_GB2312"/>
          <w:kern w:val="2"/>
          <w:sz w:val="21"/>
          <w:szCs w:val="21"/>
          <w:highlight w:val="none"/>
          <w:lang w:val="en-US" w:eastAsia="zh-CN" w:bidi="ar-SA"/>
        </w:rPr>
      </w:pPr>
      <w:r>
        <w:rPr>
          <w:rFonts w:hint="eastAsia" w:ascii="仿宋_GB2312" w:hAnsi="仿宋_GB2312" w:cs="仿宋_GB2312"/>
          <w:bCs/>
          <w:spacing w:val="2"/>
          <w:sz w:val="21"/>
          <w:szCs w:val="21"/>
          <w:highlight w:val="none"/>
          <w:lang w:val="en-US" w:eastAsia="zh-CN"/>
        </w:rPr>
        <w:t>2、</w:t>
      </w:r>
      <w:r>
        <w:rPr>
          <w:rFonts w:hint="eastAsia" w:ascii="仿宋_GB2312" w:hAnsi="仿宋_GB2312" w:eastAsia="仿宋_GB2312" w:cs="仿宋_GB2312"/>
          <w:bCs/>
          <w:spacing w:val="2"/>
          <w:sz w:val="21"/>
          <w:szCs w:val="21"/>
          <w:highlight w:val="none"/>
        </w:rPr>
        <w:t>乙方</w:t>
      </w:r>
      <w:r>
        <w:rPr>
          <w:rFonts w:hint="eastAsia" w:ascii="仿宋_GB2312" w:hAnsi="仿宋_GB2312" w:cs="仿宋_GB2312"/>
          <w:bCs/>
          <w:spacing w:val="2"/>
          <w:sz w:val="21"/>
          <w:szCs w:val="21"/>
          <w:highlight w:val="none"/>
          <w:lang w:val="en-US" w:eastAsia="zh-CN"/>
        </w:rPr>
        <w:t>未在规定时间内按</w:t>
      </w:r>
      <w:r>
        <w:rPr>
          <w:rFonts w:hint="eastAsia" w:ascii="仿宋_GB2312" w:hAnsi="仿宋_GB2312" w:eastAsia="仿宋_GB2312" w:cs="仿宋_GB2312"/>
          <w:bCs/>
          <w:spacing w:val="2"/>
          <w:sz w:val="21"/>
          <w:szCs w:val="21"/>
          <w:highlight w:val="none"/>
        </w:rPr>
        <w:t>甲方材料计划供应材料，</w:t>
      </w:r>
      <w:r>
        <w:rPr>
          <w:rFonts w:hint="eastAsia" w:ascii="仿宋_GB2312" w:hAnsi="仿宋_GB2312" w:eastAsia="仿宋_GB2312" w:cs="仿宋_GB2312"/>
          <w:kern w:val="2"/>
          <w:sz w:val="21"/>
          <w:szCs w:val="21"/>
          <w:highlight w:val="none"/>
          <w:lang w:val="en-US" w:eastAsia="zh-CN" w:bidi="ar-SA"/>
        </w:rPr>
        <w:t>每延迟一天按</w:t>
      </w:r>
      <w:r>
        <w:rPr>
          <w:rFonts w:hint="eastAsia" w:ascii="仿宋_GB2312" w:hAnsi="仿宋_GB2312" w:cs="仿宋_GB2312"/>
          <w:kern w:val="2"/>
          <w:sz w:val="21"/>
          <w:szCs w:val="21"/>
          <w:highlight w:val="none"/>
          <w:lang w:val="en-US" w:eastAsia="zh-CN" w:bidi="ar-SA"/>
        </w:rPr>
        <w:t>1000</w:t>
      </w:r>
      <w:r>
        <w:rPr>
          <w:rFonts w:hint="eastAsia" w:ascii="仿宋_GB2312" w:hAnsi="仿宋_GB2312" w:eastAsia="仿宋_GB2312" w:cs="仿宋_GB2312"/>
          <w:kern w:val="2"/>
          <w:sz w:val="21"/>
          <w:szCs w:val="21"/>
          <w:highlight w:val="none"/>
          <w:lang w:val="en-US" w:eastAsia="zh-CN" w:bidi="ar-SA"/>
        </w:rPr>
        <w:t>元/天从货款中扣除误工费，逾期3天以上未交货的视为乙方违约（滑坡、塌方等自然灾害及国家政策影响等不可抗力导致的除外），</w:t>
      </w:r>
      <w:r>
        <w:rPr>
          <w:rFonts w:hint="eastAsia" w:ascii="仿宋_GB2312" w:hAnsi="仿宋_GB2312" w:eastAsia="仿宋_GB2312" w:cs="仿宋_GB2312"/>
          <w:bCs/>
          <w:spacing w:val="2"/>
          <w:sz w:val="21"/>
          <w:szCs w:val="21"/>
          <w:highlight w:val="none"/>
        </w:rPr>
        <w:t>视为乙方违约，</w:t>
      </w:r>
      <w:r>
        <w:rPr>
          <w:rFonts w:hint="eastAsia" w:ascii="仿宋_GB2312" w:hAnsi="仿宋_GB2312" w:eastAsia="仿宋_GB2312" w:cs="仿宋_GB2312"/>
          <w:kern w:val="2"/>
          <w:sz w:val="21"/>
          <w:szCs w:val="21"/>
          <w:highlight w:val="none"/>
          <w:lang w:val="en-US" w:eastAsia="zh-CN" w:bidi="ar-SA"/>
        </w:rPr>
        <w:t>甲方有权</w:t>
      </w:r>
      <w:r>
        <w:rPr>
          <w:rFonts w:hint="eastAsia" w:ascii="仿宋_GB2312" w:hAnsi="仿宋_GB2312" w:cs="仿宋_GB2312"/>
          <w:kern w:val="2"/>
          <w:sz w:val="21"/>
          <w:szCs w:val="21"/>
          <w:highlight w:val="none"/>
          <w:lang w:val="en-US" w:eastAsia="zh-CN" w:bidi="ar-SA"/>
        </w:rPr>
        <w:t>通过第三方采购交货，乙方承担甲方采购成本并赔偿由此造成甲方的</w:t>
      </w:r>
      <w:r>
        <w:rPr>
          <w:rFonts w:hint="eastAsia" w:ascii="仿宋_GB2312" w:hAnsi="仿宋_GB2312" w:eastAsia="仿宋_GB2312" w:cs="仿宋_GB2312"/>
          <w:bCs/>
          <w:spacing w:val="2"/>
          <w:sz w:val="21"/>
          <w:szCs w:val="21"/>
          <w:highlight w:val="none"/>
        </w:rPr>
        <w:t>一切直接、间接损失</w:t>
      </w:r>
      <w:r>
        <w:rPr>
          <w:rFonts w:hint="eastAsia" w:ascii="仿宋_GB2312" w:hAnsi="仿宋_GB2312" w:cs="仿宋_GB2312"/>
          <w:kern w:val="2"/>
          <w:sz w:val="21"/>
          <w:szCs w:val="21"/>
          <w:highlight w:val="none"/>
          <w:lang w:val="en-US" w:eastAsia="zh-CN" w:bidi="ar-SA"/>
        </w:rPr>
        <w:t>。</w:t>
      </w:r>
    </w:p>
    <w:p>
      <w:pPr>
        <w:spacing w:line="500" w:lineRule="exact"/>
        <w:ind w:firstLine="428" w:firstLineChars="200"/>
        <w:rPr>
          <w:rFonts w:hint="eastAsia" w:ascii="仿宋_GB2312" w:hAnsi="仿宋_GB2312" w:cs="仿宋_GB2312"/>
          <w:bCs/>
          <w:spacing w:val="2"/>
          <w:sz w:val="21"/>
          <w:szCs w:val="21"/>
          <w:highlight w:val="none"/>
          <w:lang w:val="en-US" w:eastAsia="zh-CN"/>
        </w:rPr>
      </w:pPr>
      <w:r>
        <w:rPr>
          <w:rFonts w:hint="eastAsia" w:ascii="仿宋_GB2312" w:hAnsi="仿宋_GB2312" w:cs="仿宋_GB2312"/>
          <w:bCs/>
          <w:spacing w:val="2"/>
          <w:sz w:val="21"/>
          <w:szCs w:val="21"/>
          <w:highlight w:val="none"/>
          <w:lang w:val="en-US" w:eastAsia="zh-CN"/>
        </w:rPr>
        <w:t>3.发票异常等情况的违约责任</w:t>
      </w:r>
    </w:p>
    <w:p>
      <w:pPr>
        <w:spacing w:line="500" w:lineRule="exact"/>
        <w:ind w:firstLine="428" w:firstLineChars="200"/>
        <w:rPr>
          <w:rFonts w:hint="eastAsia" w:ascii="仿宋_GB2312" w:hAnsi="仿宋_GB2312" w:cs="仿宋_GB2312"/>
          <w:bCs/>
          <w:spacing w:val="2"/>
          <w:sz w:val="21"/>
          <w:szCs w:val="21"/>
          <w:highlight w:val="none"/>
          <w:lang w:val="en-US" w:eastAsia="zh-CN"/>
        </w:rPr>
      </w:pPr>
      <w:r>
        <w:rPr>
          <w:rFonts w:hint="eastAsia" w:ascii="仿宋_GB2312" w:hAnsi="仿宋_GB2312" w:cs="仿宋_GB2312"/>
          <w:bCs/>
          <w:spacing w:val="2"/>
          <w:sz w:val="21"/>
          <w:szCs w:val="21"/>
          <w:highlight w:val="none"/>
          <w:lang w:val="en-US" w:eastAsia="zh-CN"/>
        </w:rPr>
        <w:t>乙方所开具的发票甲方抵扣不成功或抵扣成功后被税务机关等相关部门列为异常发票等情况，给甲方造成税款抵扣损失的，乙方同意按以下计算办法赔偿给甲方造成的经济损失：</w:t>
      </w:r>
    </w:p>
    <w:p>
      <w:pPr>
        <w:spacing w:line="500" w:lineRule="exact"/>
        <w:ind w:firstLine="428" w:firstLineChars="200"/>
        <w:rPr>
          <w:rFonts w:hint="eastAsia" w:ascii="仿宋_GB2312" w:hAnsi="仿宋_GB2312" w:cs="仿宋_GB2312"/>
          <w:bCs/>
          <w:spacing w:val="2"/>
          <w:sz w:val="21"/>
          <w:szCs w:val="21"/>
          <w:highlight w:val="none"/>
          <w:lang w:val="en-US" w:eastAsia="zh-CN"/>
        </w:rPr>
      </w:pPr>
      <w:r>
        <w:rPr>
          <w:rFonts w:hint="eastAsia" w:ascii="仿宋_GB2312" w:hAnsi="仿宋_GB2312" w:cs="仿宋_GB2312"/>
          <w:bCs/>
          <w:spacing w:val="2"/>
          <w:sz w:val="21"/>
          <w:szCs w:val="21"/>
          <w:highlight w:val="none"/>
          <w:lang w:val="en-US" w:eastAsia="zh-CN"/>
        </w:rPr>
        <w:t>甲方经济损失＝增值税进项额损失＋营业税金及附加＋无票的所得税损失＋诉讼成本损失＋罚金＋滞纳金等；</w:t>
      </w:r>
    </w:p>
    <w:p>
      <w:pPr>
        <w:spacing w:line="500" w:lineRule="exact"/>
        <w:ind w:firstLine="428" w:firstLineChars="200"/>
        <w:rPr>
          <w:rFonts w:hint="eastAsia" w:ascii="仿宋_GB2312" w:hAnsi="仿宋_GB2312" w:cs="仿宋_GB2312"/>
          <w:bCs/>
          <w:spacing w:val="2"/>
          <w:sz w:val="21"/>
          <w:szCs w:val="21"/>
          <w:highlight w:val="none"/>
          <w:lang w:val="en-US" w:eastAsia="zh-CN"/>
        </w:rPr>
      </w:pPr>
      <w:r>
        <w:rPr>
          <w:rFonts w:hint="eastAsia" w:ascii="仿宋_GB2312" w:hAnsi="仿宋_GB2312" w:cs="仿宋_GB2312"/>
          <w:bCs/>
          <w:spacing w:val="2"/>
          <w:sz w:val="21"/>
          <w:szCs w:val="21"/>
          <w:highlight w:val="none"/>
          <w:lang w:val="en-US" w:eastAsia="zh-CN"/>
        </w:rPr>
        <w:t>增值税进项额损失＝应开票含税结算额÷1.13x0.13-实收票面进项税额。</w:t>
      </w:r>
    </w:p>
    <w:p>
      <w:pPr>
        <w:spacing w:line="500" w:lineRule="exact"/>
        <w:ind w:firstLine="428" w:firstLineChars="200"/>
        <w:rPr>
          <w:rFonts w:hint="eastAsia" w:ascii="仿宋_GB2312" w:hAnsi="仿宋_GB2312" w:cs="仿宋_GB2312"/>
          <w:bCs/>
          <w:spacing w:val="2"/>
          <w:sz w:val="21"/>
          <w:szCs w:val="21"/>
          <w:highlight w:val="none"/>
          <w:lang w:val="en-US" w:eastAsia="zh-CN"/>
        </w:rPr>
      </w:pPr>
      <w:r>
        <w:rPr>
          <w:rFonts w:hint="eastAsia" w:ascii="仿宋_GB2312" w:hAnsi="仿宋_GB2312" w:cs="仿宋_GB2312"/>
          <w:bCs/>
          <w:spacing w:val="2"/>
          <w:sz w:val="21"/>
          <w:szCs w:val="21"/>
          <w:highlight w:val="none"/>
          <w:lang w:val="en-US" w:eastAsia="zh-CN"/>
        </w:rPr>
        <w:t>营业税及附加＝增值税进项额x12.5％（城建税7％、教育费附加3％、水利建设基金0.5％、地方教育费附加2％）；</w:t>
      </w:r>
    </w:p>
    <w:p>
      <w:pPr>
        <w:spacing w:line="500" w:lineRule="exact"/>
        <w:ind w:firstLine="428" w:firstLineChars="200"/>
        <w:rPr>
          <w:rFonts w:hint="eastAsia" w:ascii="仿宋_GB2312" w:hAnsi="仿宋_GB2312" w:cs="仿宋_GB2312"/>
          <w:bCs/>
          <w:spacing w:val="2"/>
          <w:sz w:val="21"/>
          <w:szCs w:val="21"/>
          <w:highlight w:val="none"/>
          <w:lang w:val="en-US" w:eastAsia="zh-CN"/>
        </w:rPr>
      </w:pPr>
      <w:r>
        <w:rPr>
          <w:rFonts w:hint="eastAsia" w:ascii="仿宋_GB2312" w:hAnsi="仿宋_GB2312" w:cs="仿宋_GB2312"/>
          <w:bCs/>
          <w:spacing w:val="2"/>
          <w:sz w:val="21"/>
          <w:szCs w:val="21"/>
          <w:highlight w:val="none"/>
          <w:lang w:val="en-US" w:eastAsia="zh-CN"/>
        </w:rPr>
        <w:t>无票的所得税损失＝不含税金额x25％；诉讼成本损失＝案件受理费＋保全费＋律师代理费等相关费用</w:t>
      </w:r>
    </w:p>
    <w:p>
      <w:pPr>
        <w:spacing w:line="500" w:lineRule="exact"/>
        <w:ind w:firstLine="428" w:firstLineChars="200"/>
        <w:rPr>
          <w:rFonts w:hint="eastAsia" w:ascii="仿宋_GB2312" w:hAnsi="仿宋_GB2312" w:cs="仿宋_GB2312"/>
          <w:bCs/>
          <w:spacing w:val="2"/>
          <w:sz w:val="21"/>
          <w:szCs w:val="21"/>
          <w:highlight w:val="none"/>
          <w:lang w:val="en-US" w:eastAsia="zh-CN"/>
        </w:rPr>
      </w:pPr>
      <w:r>
        <w:rPr>
          <w:rFonts w:hint="eastAsia" w:ascii="仿宋_GB2312" w:hAnsi="仿宋_GB2312" w:cs="仿宋_GB2312"/>
          <w:bCs/>
          <w:spacing w:val="2"/>
          <w:sz w:val="21"/>
          <w:szCs w:val="21"/>
          <w:highlight w:val="none"/>
          <w:lang w:val="en-US" w:eastAsia="zh-CN"/>
        </w:rPr>
        <w:t>罚金、滞纳金等：以实际产生的金额为准。</w:t>
      </w:r>
    </w:p>
    <w:p>
      <w:pPr>
        <w:spacing w:line="500" w:lineRule="exact"/>
        <w:ind w:firstLine="428" w:firstLineChars="200"/>
        <w:rPr>
          <w:rFonts w:hint="eastAsia" w:ascii="仿宋_GB2312" w:hAnsi="仿宋_GB2312" w:cs="仿宋_GB2312"/>
          <w:bCs/>
          <w:spacing w:val="2"/>
          <w:sz w:val="21"/>
          <w:szCs w:val="21"/>
          <w:highlight w:val="none"/>
          <w:lang w:val="en-US" w:eastAsia="zh-CN"/>
        </w:rPr>
      </w:pPr>
      <w:r>
        <w:rPr>
          <w:rFonts w:hint="eastAsia" w:ascii="仿宋_GB2312" w:hAnsi="仿宋_GB2312" w:cs="仿宋_GB2312"/>
          <w:bCs/>
          <w:spacing w:val="2"/>
          <w:sz w:val="21"/>
          <w:szCs w:val="21"/>
          <w:highlight w:val="none"/>
          <w:lang w:val="en-US" w:eastAsia="zh-CN"/>
        </w:rPr>
        <w:t>4、乙方开具虚假、作废等无效发票或者违反国家法律法规开具、提供发票的，乙方应自行承担相应法律责任，并且在三十日之内应向甲方支付合同总价13%的违约金（比例不低于合同约定的税率，可在此基础上适当增加），以上违约金不足以弥补甲方损失的，乙方应予赔偿，乙方重新开具的发票仍与合同约定不符的，乙方除按本项前述约定承担责任外，甲方拒绝接收；乙方无法开具发票的，乙方除按本项前述约定承担责任外，赔偿由此给甲方造成的全部损失，甲方有权终止合同。同时，剩余未支付货款及下批次应付款项作为发票保证金，若出现发票违约等问题，甲方有权从中扣除由此造成一切违约费用。如因乙方及乙方上游虚假开票等造成甲方不能正常抵扣税款等损失的，由乙方承担一切法律及经济责任并无条件退还已支付货款。</w:t>
      </w:r>
    </w:p>
    <w:p>
      <w:pPr>
        <w:keepNext w:val="0"/>
        <w:keepLines w:val="0"/>
        <w:pageBreakBefore w:val="0"/>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spacing w:val="2"/>
          <w:sz w:val="21"/>
          <w:szCs w:val="21"/>
          <w:highlight w:val="none"/>
        </w:rPr>
      </w:pPr>
      <w:r>
        <w:rPr>
          <w:rFonts w:hint="eastAsia" w:ascii="仿宋_GB2312" w:hAnsi="仿宋_GB2312" w:cs="仿宋_GB2312"/>
          <w:spacing w:val="2"/>
          <w:sz w:val="21"/>
          <w:szCs w:val="21"/>
          <w:highlight w:val="none"/>
          <w:lang w:val="en-US" w:eastAsia="zh-CN"/>
        </w:rPr>
        <w:t>5</w:t>
      </w:r>
      <w:r>
        <w:rPr>
          <w:rFonts w:hint="eastAsia" w:ascii="仿宋_GB2312" w:hAnsi="仿宋_GB2312" w:eastAsia="仿宋_GB2312" w:cs="仿宋_GB2312"/>
          <w:spacing w:val="2"/>
          <w:sz w:val="21"/>
          <w:szCs w:val="21"/>
          <w:highlight w:val="none"/>
        </w:rPr>
        <w:t>、由乙方承担的违约责任及赔偿，甲方可从应付货款中扣除。货款不足以扣抵的，甲方可在履约保证金中扣除。若履约保证金仍不能扣抵，甲方可采取适当方式继续追偿。</w:t>
      </w:r>
    </w:p>
    <w:p>
      <w:pPr>
        <w:keepNext w:val="0"/>
        <w:keepLines w:val="0"/>
        <w:pageBreakBefore w:val="0"/>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spacing w:val="2"/>
          <w:sz w:val="21"/>
          <w:szCs w:val="21"/>
          <w:highlight w:val="none"/>
        </w:rPr>
      </w:pPr>
      <w:r>
        <w:rPr>
          <w:rFonts w:hint="eastAsia" w:ascii="仿宋_GB2312" w:hAnsi="仿宋_GB2312" w:cs="仿宋_GB2312"/>
          <w:spacing w:val="2"/>
          <w:sz w:val="21"/>
          <w:szCs w:val="21"/>
          <w:highlight w:val="none"/>
          <w:lang w:val="en-US" w:eastAsia="zh-CN"/>
        </w:rPr>
        <w:t>6</w:t>
      </w:r>
      <w:r>
        <w:rPr>
          <w:rFonts w:hint="eastAsia" w:ascii="仿宋_GB2312" w:hAnsi="仿宋_GB2312" w:eastAsia="仿宋_GB2312" w:cs="仿宋_GB2312"/>
          <w:spacing w:val="2"/>
          <w:sz w:val="21"/>
          <w:szCs w:val="21"/>
          <w:highlight w:val="none"/>
        </w:rPr>
        <w:t>、严禁乙方将本合同约定的</w:t>
      </w:r>
      <w:r>
        <w:rPr>
          <w:rFonts w:hint="eastAsia" w:ascii="仿宋_GB2312" w:hAnsi="仿宋_GB2312" w:cs="仿宋_GB2312"/>
          <w:spacing w:val="2"/>
          <w:sz w:val="21"/>
          <w:szCs w:val="21"/>
          <w:highlight w:val="none"/>
          <w:lang w:val="en-US" w:eastAsia="zh-CN"/>
        </w:rPr>
        <w:t>材料</w:t>
      </w:r>
      <w:r>
        <w:rPr>
          <w:rFonts w:hint="eastAsia" w:ascii="仿宋_GB2312" w:hAnsi="仿宋_GB2312" w:eastAsia="仿宋_GB2312" w:cs="仿宋_GB2312"/>
          <w:spacing w:val="2"/>
          <w:sz w:val="21"/>
          <w:szCs w:val="21"/>
          <w:highlight w:val="none"/>
        </w:rPr>
        <w:t>供应转让或分包给其他供应单位，否则视为乙方严重违约，甲方有权单方面解除合同。</w:t>
      </w:r>
    </w:p>
    <w:p>
      <w:pPr>
        <w:keepNext w:val="0"/>
        <w:keepLines w:val="0"/>
        <w:pageBreakBefore w:val="0"/>
        <w:widowControl w:val="0"/>
        <w:numPr>
          <w:ilvl w:val="1"/>
          <w:numId w:val="0"/>
        </w:numPr>
        <w:tabs>
          <w:tab w:val="left" w:pos="5640"/>
        </w:tabs>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十五、双方的联系地址及人员</w:t>
      </w:r>
    </w:p>
    <w:p>
      <w:pPr>
        <w:keepNext w:val="0"/>
        <w:keepLines w:val="0"/>
        <w:pageBreakBefore w:val="0"/>
        <w:widowControl w:val="0"/>
        <w:numPr>
          <w:ilvl w:val="0"/>
          <w:numId w:val="0"/>
        </w:numPr>
        <w:wordWrap/>
        <w:overflowPunct/>
        <w:topLinePunct w:val="0"/>
        <w:bidi w:val="0"/>
        <w:spacing w:line="520" w:lineRule="exact"/>
        <w:ind w:left="0" w:leftChars="0" w:firstLine="420" w:firstLineChars="200"/>
        <w:jc w:val="both"/>
        <w:outlineLvl w:val="9"/>
        <w:rPr>
          <w:rFonts w:hint="default" w:ascii="仿宋_GB2312" w:hAnsi="仿宋_GB2312" w:eastAsia="仿宋_GB2312" w:cs="仿宋_GB2312"/>
          <w:kern w:val="2"/>
          <w:sz w:val="21"/>
          <w:szCs w:val="21"/>
          <w:highlight w:val="none"/>
          <w:u w:val="single"/>
          <w:lang w:val="en-US" w:eastAsia="zh-CN" w:bidi="ar-SA"/>
        </w:rPr>
      </w:pPr>
      <w:r>
        <w:rPr>
          <w:rFonts w:hint="default" w:ascii="仿宋_GB2312" w:hAnsi="仿宋_GB2312" w:eastAsia="仿宋_GB2312" w:cs="Times New Roman"/>
          <w:b w:val="0"/>
          <w:bCs w:val="0"/>
          <w:kern w:val="2"/>
          <w:sz w:val="21"/>
          <w:szCs w:val="21"/>
          <w:highlight w:val="none"/>
          <w:lang w:val="en-US" w:eastAsia="zh-CN" w:bidi="ar-SA"/>
        </w:rPr>
        <w:t>1、</w:t>
      </w:r>
      <w:r>
        <w:rPr>
          <w:rFonts w:hint="eastAsia" w:ascii="仿宋_GB2312" w:hAnsi="仿宋_GB2312" w:eastAsia="仿宋_GB2312" w:cs="仿宋_GB2312"/>
          <w:kern w:val="2"/>
          <w:sz w:val="21"/>
          <w:szCs w:val="21"/>
          <w:highlight w:val="none"/>
          <w:lang w:val="en-US" w:eastAsia="zh-CN" w:bidi="ar-SA"/>
        </w:rPr>
        <w:t>甲方联系地址：</w:t>
      </w:r>
      <w:r>
        <w:rPr>
          <w:rFonts w:hint="eastAsia" w:ascii="仿宋_GB2312" w:hAnsi="仿宋_GB2312" w:eastAsia="仿宋_GB2312" w:cs="仿宋_GB2312"/>
          <w:kern w:val="2"/>
          <w:sz w:val="21"/>
          <w:szCs w:val="21"/>
          <w:highlight w:val="none"/>
          <w:u w:val="single"/>
          <w:lang w:val="en-US" w:eastAsia="zh-CN" w:bidi="ar-SA"/>
        </w:rPr>
        <w:t xml:space="preserve"> 成都市青羊区光华北五路266号青羊总部经济基地2号楼A座</w:t>
      </w:r>
      <w:r>
        <w:rPr>
          <w:rFonts w:hint="eastAsia" w:ascii="仿宋_GB2312" w:hAnsi="仿宋_GB2312" w:eastAsia="仿宋_GB2312" w:cs="仿宋_GB2312"/>
          <w:sz w:val="21"/>
          <w:szCs w:val="21"/>
          <w:highlight w:val="none"/>
          <w:u w:val="single"/>
          <w:lang w:val="en-US" w:eastAsia="zh-CN"/>
        </w:rPr>
        <w:t xml:space="preserve"> </w:t>
      </w:r>
      <w:r>
        <w:rPr>
          <w:rFonts w:hint="eastAsia" w:ascii="仿宋_GB2312" w:hAnsi="仿宋_GB2312" w:eastAsia="仿宋_GB2312" w:cs="仿宋_GB2312"/>
          <w:kern w:val="2"/>
          <w:sz w:val="21"/>
          <w:szCs w:val="21"/>
          <w:highlight w:val="none"/>
          <w:lang w:val="en-US" w:eastAsia="zh-CN" w:bidi="ar-SA"/>
        </w:rPr>
        <w:t>，</w:t>
      </w:r>
      <w:r>
        <w:rPr>
          <w:rFonts w:hint="eastAsia" w:ascii="仿宋_GB2312" w:hAnsi="仿宋_GB2312" w:cs="仿宋_GB2312"/>
          <w:kern w:val="2"/>
          <w:sz w:val="21"/>
          <w:szCs w:val="21"/>
          <w:highlight w:val="none"/>
          <w:lang w:val="en-US" w:eastAsia="zh-CN" w:bidi="ar-SA"/>
        </w:rPr>
        <w:t>甲方指定联系人</w:t>
      </w:r>
      <w:r>
        <w:rPr>
          <w:rFonts w:hint="eastAsia" w:ascii="仿宋_GB2312" w:hAnsi="仿宋_GB2312" w:eastAsia="仿宋_GB2312" w:cs="仿宋_GB2312"/>
          <w:kern w:val="2"/>
          <w:sz w:val="21"/>
          <w:szCs w:val="21"/>
          <w:highlight w:val="none"/>
          <w:lang w:val="en-US" w:eastAsia="zh-CN" w:bidi="ar-SA"/>
        </w:rPr>
        <w:t>：</w:t>
      </w:r>
      <w:r>
        <w:rPr>
          <w:rFonts w:hint="eastAsia" w:ascii="仿宋_GB2312" w:hAnsi="仿宋_GB2312" w:cs="仿宋_GB2312"/>
          <w:kern w:val="2"/>
          <w:sz w:val="21"/>
          <w:szCs w:val="21"/>
          <w:highlight w:val="none"/>
          <w:u w:val="single"/>
          <w:lang w:val="en-US" w:eastAsia="zh-CN" w:bidi="ar-SA"/>
        </w:rPr>
        <w:t xml:space="preserve">      ，</w:t>
      </w:r>
      <w:r>
        <w:rPr>
          <w:rFonts w:hint="eastAsia" w:ascii="仿宋_GB2312" w:hAnsi="仿宋_GB2312" w:eastAsia="仿宋_GB2312" w:cs="仿宋_GB2312"/>
          <w:kern w:val="2"/>
          <w:sz w:val="21"/>
          <w:szCs w:val="21"/>
          <w:highlight w:val="none"/>
          <w:lang w:val="en-US" w:eastAsia="zh-CN" w:bidi="ar-SA"/>
        </w:rPr>
        <w:t>授权范围：</w:t>
      </w:r>
      <w:r>
        <w:rPr>
          <w:rFonts w:hint="eastAsia" w:ascii="仿宋_GB2312" w:hAnsi="仿宋_GB2312" w:eastAsia="仿宋_GB2312" w:cs="仿宋_GB2312"/>
          <w:kern w:val="2"/>
          <w:sz w:val="21"/>
          <w:szCs w:val="21"/>
          <w:highlight w:val="none"/>
          <w:u w:val="single"/>
          <w:lang w:val="en-US" w:eastAsia="zh-CN" w:bidi="ar-SA"/>
        </w:rPr>
        <w:t>（供货计划传递、对账结算、发票交接等 ）</w:t>
      </w:r>
      <w:r>
        <w:rPr>
          <w:rFonts w:hint="eastAsia" w:ascii="仿宋_GB2312" w:hAnsi="仿宋_GB2312" w:eastAsia="仿宋_GB2312" w:cs="仿宋_GB2312"/>
          <w:kern w:val="2"/>
          <w:sz w:val="21"/>
          <w:szCs w:val="21"/>
          <w:highlight w:val="none"/>
          <w:lang w:val="en-US" w:eastAsia="zh-CN" w:bidi="ar-SA"/>
        </w:rPr>
        <w:t xml:space="preserve"> ，联系电话：</w:t>
      </w:r>
      <w:r>
        <w:rPr>
          <w:rFonts w:hint="eastAsia" w:ascii="仿宋_GB2312" w:hAnsi="仿宋_GB2312" w:cs="仿宋_GB2312"/>
          <w:kern w:val="2"/>
          <w:sz w:val="21"/>
          <w:szCs w:val="21"/>
          <w:highlight w:val="none"/>
          <w:u w:val="single"/>
          <w:lang w:val="en-US" w:eastAsia="zh-CN" w:bidi="ar-SA"/>
        </w:rPr>
        <w:t xml:space="preserve">    </w:t>
      </w:r>
      <w:r>
        <w:rPr>
          <w:rFonts w:hint="eastAsia" w:ascii="仿宋_GB2312" w:hAnsi="仿宋_GB2312" w:eastAsia="仿宋_GB2312" w:cs="仿宋_GB2312"/>
          <w:kern w:val="2"/>
          <w:sz w:val="21"/>
          <w:szCs w:val="21"/>
          <w:highlight w:val="none"/>
          <w:lang w:val="en-US" w:eastAsia="zh-CN" w:bidi="ar-SA"/>
        </w:rPr>
        <w:t xml:space="preserve"> ，电子邮箱：</w:t>
      </w:r>
      <w:r>
        <w:rPr>
          <w:rFonts w:hint="eastAsia" w:ascii="仿宋_GB2312" w:hAnsi="仿宋_GB2312" w:eastAsia="仿宋_GB2312" w:cs="仿宋_GB2312"/>
          <w:kern w:val="2"/>
          <w:sz w:val="21"/>
          <w:szCs w:val="21"/>
          <w:highlight w:val="none"/>
          <w:u w:val="single"/>
          <w:lang w:val="en-US" w:eastAsia="zh-CN" w:bidi="ar-SA"/>
        </w:rPr>
        <w:t xml:space="preserve"> </w:t>
      </w:r>
      <w:r>
        <w:rPr>
          <w:rFonts w:hint="eastAsia" w:ascii="仿宋_GB2312" w:hAnsi="仿宋_GB2312" w:cs="仿宋_GB2312"/>
          <w:kern w:val="2"/>
          <w:sz w:val="21"/>
          <w:szCs w:val="21"/>
          <w:highlight w:val="none"/>
          <w:u w:val="single"/>
          <w:lang w:val="en-US" w:eastAsia="zh-CN" w:bidi="ar-SA"/>
        </w:rPr>
        <w:t xml:space="preserve">       </w:t>
      </w:r>
      <w:r>
        <w:rPr>
          <w:rFonts w:hint="eastAsia" w:ascii="仿宋_GB2312" w:hAnsi="仿宋_GB2312" w:eastAsia="仿宋_GB2312" w:cs="仿宋_GB2312"/>
          <w:kern w:val="2"/>
          <w:sz w:val="21"/>
          <w:szCs w:val="21"/>
          <w:highlight w:val="none"/>
          <w:u w:val="single"/>
          <w:lang w:val="en-US" w:eastAsia="zh-CN" w:bidi="ar-SA"/>
        </w:rPr>
        <w:t xml:space="preserve"> </w:t>
      </w:r>
      <w:r>
        <w:rPr>
          <w:rFonts w:hint="eastAsia" w:ascii="仿宋_GB2312" w:hAnsi="仿宋_GB2312" w:eastAsia="仿宋_GB2312" w:cs="仿宋_GB2312"/>
          <w:kern w:val="2"/>
          <w:sz w:val="21"/>
          <w:szCs w:val="21"/>
          <w:highlight w:val="none"/>
          <w:lang w:val="en-US" w:eastAsia="zh-CN" w:bidi="ar-SA"/>
        </w:rPr>
        <w:t xml:space="preserve"> </w:t>
      </w:r>
      <w:r>
        <w:rPr>
          <w:rFonts w:hint="eastAsia" w:ascii="仿宋_GB2312" w:hAnsi="仿宋_GB2312" w:cs="仿宋_GB2312"/>
          <w:kern w:val="2"/>
          <w:sz w:val="21"/>
          <w:szCs w:val="21"/>
          <w:highlight w:val="none"/>
          <w:lang w:val="en-US" w:eastAsia="zh-CN" w:bidi="ar-SA"/>
        </w:rPr>
        <w:t>，样签：</w:t>
      </w:r>
      <w:r>
        <w:rPr>
          <w:rFonts w:hint="eastAsia" w:ascii="仿宋_GB2312" w:hAnsi="仿宋_GB2312" w:cs="仿宋_GB2312"/>
          <w:kern w:val="2"/>
          <w:sz w:val="21"/>
          <w:szCs w:val="21"/>
          <w:highlight w:val="none"/>
          <w:u w:val="single"/>
          <w:lang w:val="en-US" w:eastAsia="zh-CN" w:bidi="ar-SA"/>
        </w:rPr>
        <w:t xml:space="preserve">          。</w:t>
      </w:r>
    </w:p>
    <w:p>
      <w:pPr>
        <w:keepNext w:val="0"/>
        <w:keepLines w:val="0"/>
        <w:pageBreakBefore w:val="0"/>
        <w:widowControl w:val="0"/>
        <w:numPr>
          <w:ilvl w:val="0"/>
          <w:numId w:val="0"/>
        </w:numPr>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kern w:val="2"/>
          <w:sz w:val="21"/>
          <w:szCs w:val="21"/>
          <w:highlight w:val="none"/>
          <w:lang w:val="en-US" w:eastAsia="zh-CN" w:bidi="ar-SA"/>
        </w:rPr>
      </w:pPr>
      <w:r>
        <w:rPr>
          <w:rFonts w:hint="default" w:ascii="仿宋_GB2312" w:hAnsi="仿宋_GB2312" w:eastAsia="仿宋_GB2312" w:cs="Times New Roman"/>
          <w:b w:val="0"/>
          <w:bCs w:val="0"/>
          <w:kern w:val="2"/>
          <w:sz w:val="21"/>
          <w:szCs w:val="21"/>
          <w:highlight w:val="none"/>
          <w:lang w:val="en-US" w:eastAsia="zh-CN" w:bidi="ar-SA"/>
        </w:rPr>
        <w:t>2、</w:t>
      </w:r>
      <w:r>
        <w:rPr>
          <w:rFonts w:hint="eastAsia" w:ascii="仿宋_GB2312" w:hAnsi="仿宋_GB2312" w:eastAsia="仿宋_GB2312" w:cs="仿宋_GB2312"/>
          <w:kern w:val="2"/>
          <w:sz w:val="21"/>
          <w:szCs w:val="21"/>
          <w:highlight w:val="none"/>
          <w:lang w:val="en-US" w:eastAsia="zh-CN" w:bidi="ar-SA"/>
        </w:rPr>
        <w:t>乙方联系（邮寄）地址：</w:t>
      </w:r>
      <w:r>
        <w:rPr>
          <w:rFonts w:hint="eastAsia" w:ascii="仿宋_GB2312" w:hAnsi="仿宋_GB2312" w:eastAsia="仿宋_GB2312" w:cs="仿宋_GB2312"/>
          <w:kern w:val="2"/>
          <w:sz w:val="21"/>
          <w:szCs w:val="21"/>
          <w:highlight w:val="none"/>
          <w:u w:val="single"/>
          <w:lang w:val="en-US" w:eastAsia="zh-CN" w:bidi="ar-SA"/>
        </w:rPr>
        <w:t xml:space="preserve"> </w:t>
      </w:r>
      <w:r>
        <w:rPr>
          <w:rFonts w:hint="eastAsia" w:ascii="仿宋_GB2312" w:hAnsi="仿宋_GB2312" w:cs="仿宋_GB2312"/>
          <w:kern w:val="2"/>
          <w:sz w:val="21"/>
          <w:szCs w:val="21"/>
          <w:highlight w:val="none"/>
          <w:u w:val="single"/>
          <w:lang w:val="en-US" w:eastAsia="zh-CN" w:bidi="ar-SA"/>
        </w:rPr>
        <w:t xml:space="preserve">            </w:t>
      </w:r>
      <w:r>
        <w:rPr>
          <w:rFonts w:hint="eastAsia" w:ascii="仿宋_GB2312" w:hAnsi="仿宋_GB2312" w:eastAsia="仿宋_GB2312" w:cs="仿宋_GB2312"/>
          <w:kern w:val="2"/>
          <w:sz w:val="21"/>
          <w:szCs w:val="21"/>
          <w:highlight w:val="none"/>
          <w:u w:val="single"/>
          <w:lang w:val="en-US" w:eastAsia="zh-CN" w:bidi="ar-SA"/>
        </w:rPr>
        <w:t xml:space="preserve"> </w:t>
      </w:r>
      <w:r>
        <w:rPr>
          <w:rFonts w:hint="eastAsia" w:ascii="仿宋_GB2312" w:hAnsi="仿宋_GB2312" w:eastAsia="仿宋_GB2312" w:cs="仿宋_GB2312"/>
          <w:kern w:val="2"/>
          <w:sz w:val="21"/>
          <w:szCs w:val="21"/>
          <w:highlight w:val="none"/>
          <w:lang w:val="en-US" w:eastAsia="zh-CN" w:bidi="ar-SA"/>
        </w:rPr>
        <w:t>，</w:t>
      </w:r>
      <w:r>
        <w:rPr>
          <w:rFonts w:hint="eastAsia" w:ascii="仿宋_GB2312" w:hAnsi="仿宋_GB2312" w:cs="仿宋_GB2312"/>
          <w:kern w:val="2"/>
          <w:sz w:val="21"/>
          <w:szCs w:val="21"/>
          <w:highlight w:val="none"/>
          <w:lang w:val="en-US" w:eastAsia="zh-CN" w:bidi="ar-SA"/>
        </w:rPr>
        <w:t>乙方指定联系人</w:t>
      </w:r>
      <w:r>
        <w:rPr>
          <w:rFonts w:hint="eastAsia" w:ascii="仿宋_GB2312" w:hAnsi="仿宋_GB2312" w:eastAsia="仿宋_GB2312" w:cs="仿宋_GB2312"/>
          <w:kern w:val="2"/>
          <w:sz w:val="21"/>
          <w:szCs w:val="21"/>
          <w:highlight w:val="none"/>
          <w:lang w:val="en-US" w:eastAsia="zh-CN" w:bidi="ar-SA"/>
        </w:rPr>
        <w:t>：</w:t>
      </w:r>
      <w:r>
        <w:rPr>
          <w:rFonts w:hint="eastAsia" w:ascii="仿宋_GB2312" w:hAnsi="仿宋_GB2312" w:cs="仿宋_GB2312"/>
          <w:kern w:val="2"/>
          <w:sz w:val="21"/>
          <w:szCs w:val="21"/>
          <w:highlight w:val="none"/>
          <w:u w:val="single"/>
          <w:lang w:val="en-US" w:eastAsia="zh-CN" w:bidi="ar-SA"/>
        </w:rPr>
        <w:t xml:space="preserve">      ，</w:t>
      </w:r>
      <w:r>
        <w:rPr>
          <w:rFonts w:hint="eastAsia" w:ascii="仿宋_GB2312" w:hAnsi="仿宋_GB2312" w:eastAsia="仿宋_GB2312" w:cs="仿宋_GB2312"/>
          <w:kern w:val="2"/>
          <w:sz w:val="21"/>
          <w:szCs w:val="21"/>
          <w:highlight w:val="none"/>
          <w:lang w:val="en-US" w:eastAsia="zh-CN" w:bidi="ar-SA"/>
        </w:rPr>
        <w:t>授权范围：</w:t>
      </w:r>
      <w:r>
        <w:rPr>
          <w:rFonts w:hint="eastAsia" w:ascii="仿宋_GB2312" w:hAnsi="仿宋_GB2312" w:eastAsia="仿宋_GB2312" w:cs="仿宋_GB2312"/>
          <w:kern w:val="2"/>
          <w:sz w:val="21"/>
          <w:szCs w:val="21"/>
          <w:highlight w:val="none"/>
          <w:u w:val="single"/>
          <w:lang w:val="en-US" w:eastAsia="zh-CN" w:bidi="ar-SA"/>
        </w:rPr>
        <w:t>（供货计划传递、对账结算、发票交接等 ）</w:t>
      </w:r>
      <w:r>
        <w:rPr>
          <w:rFonts w:hint="eastAsia" w:ascii="仿宋_GB2312" w:hAnsi="仿宋_GB2312" w:eastAsia="仿宋_GB2312" w:cs="仿宋_GB2312"/>
          <w:kern w:val="2"/>
          <w:sz w:val="21"/>
          <w:szCs w:val="21"/>
          <w:highlight w:val="none"/>
          <w:lang w:val="en-US" w:eastAsia="zh-CN" w:bidi="ar-SA"/>
        </w:rPr>
        <w:t xml:space="preserve"> ，联系电话：</w:t>
      </w:r>
      <w:r>
        <w:rPr>
          <w:rFonts w:hint="eastAsia" w:ascii="仿宋_GB2312" w:hAnsi="仿宋_GB2312" w:cs="仿宋_GB2312"/>
          <w:kern w:val="2"/>
          <w:sz w:val="21"/>
          <w:szCs w:val="21"/>
          <w:highlight w:val="none"/>
          <w:u w:val="single"/>
          <w:lang w:val="en-US" w:eastAsia="zh-CN" w:bidi="ar-SA"/>
        </w:rPr>
        <w:t xml:space="preserve">    </w:t>
      </w:r>
      <w:r>
        <w:rPr>
          <w:rFonts w:hint="eastAsia" w:ascii="仿宋_GB2312" w:hAnsi="仿宋_GB2312" w:eastAsia="仿宋_GB2312" w:cs="仿宋_GB2312"/>
          <w:kern w:val="2"/>
          <w:sz w:val="21"/>
          <w:szCs w:val="21"/>
          <w:highlight w:val="none"/>
          <w:lang w:val="en-US" w:eastAsia="zh-CN" w:bidi="ar-SA"/>
        </w:rPr>
        <w:t xml:space="preserve"> ，电子邮箱：</w:t>
      </w:r>
      <w:r>
        <w:rPr>
          <w:rFonts w:hint="eastAsia" w:ascii="仿宋_GB2312" w:hAnsi="仿宋_GB2312" w:eastAsia="仿宋_GB2312" w:cs="仿宋_GB2312"/>
          <w:kern w:val="2"/>
          <w:sz w:val="21"/>
          <w:szCs w:val="21"/>
          <w:highlight w:val="none"/>
          <w:u w:val="single"/>
          <w:lang w:val="en-US" w:eastAsia="zh-CN" w:bidi="ar-SA"/>
        </w:rPr>
        <w:t xml:space="preserve"> </w:t>
      </w:r>
      <w:r>
        <w:rPr>
          <w:rFonts w:hint="eastAsia" w:ascii="仿宋_GB2312" w:hAnsi="仿宋_GB2312" w:cs="仿宋_GB2312"/>
          <w:kern w:val="2"/>
          <w:sz w:val="21"/>
          <w:szCs w:val="21"/>
          <w:highlight w:val="none"/>
          <w:u w:val="single"/>
          <w:lang w:val="en-US" w:eastAsia="zh-CN" w:bidi="ar-SA"/>
        </w:rPr>
        <w:t xml:space="preserve">       </w:t>
      </w:r>
      <w:r>
        <w:rPr>
          <w:rFonts w:hint="eastAsia" w:ascii="仿宋_GB2312" w:hAnsi="仿宋_GB2312" w:eastAsia="仿宋_GB2312" w:cs="仿宋_GB2312"/>
          <w:kern w:val="2"/>
          <w:sz w:val="21"/>
          <w:szCs w:val="21"/>
          <w:highlight w:val="none"/>
          <w:u w:val="single"/>
          <w:lang w:val="en-US" w:eastAsia="zh-CN" w:bidi="ar-SA"/>
        </w:rPr>
        <w:t xml:space="preserve"> </w:t>
      </w:r>
      <w:r>
        <w:rPr>
          <w:rFonts w:hint="eastAsia" w:ascii="仿宋_GB2312" w:hAnsi="仿宋_GB2312" w:eastAsia="仿宋_GB2312" w:cs="仿宋_GB2312"/>
          <w:kern w:val="2"/>
          <w:sz w:val="21"/>
          <w:szCs w:val="21"/>
          <w:highlight w:val="none"/>
          <w:lang w:val="en-US" w:eastAsia="zh-CN" w:bidi="ar-SA"/>
        </w:rPr>
        <w:t xml:space="preserve"> </w:t>
      </w:r>
      <w:r>
        <w:rPr>
          <w:rFonts w:hint="eastAsia" w:ascii="仿宋_GB2312" w:hAnsi="仿宋_GB2312" w:cs="仿宋_GB2312"/>
          <w:kern w:val="2"/>
          <w:sz w:val="21"/>
          <w:szCs w:val="21"/>
          <w:highlight w:val="none"/>
          <w:lang w:val="en-US" w:eastAsia="zh-CN" w:bidi="ar-SA"/>
        </w:rPr>
        <w:t>，样签：</w:t>
      </w:r>
      <w:r>
        <w:rPr>
          <w:rFonts w:hint="eastAsia" w:ascii="仿宋_GB2312" w:hAnsi="仿宋_GB2312" w:cs="仿宋_GB2312"/>
          <w:kern w:val="2"/>
          <w:sz w:val="21"/>
          <w:szCs w:val="21"/>
          <w:highlight w:val="none"/>
          <w:u w:val="single"/>
          <w:lang w:val="en-US" w:eastAsia="zh-CN" w:bidi="ar-SA"/>
        </w:rPr>
        <w:t xml:space="preserve">          。</w:t>
      </w:r>
    </w:p>
    <w:p>
      <w:pPr>
        <w:keepNext w:val="0"/>
        <w:keepLines w:val="0"/>
        <w:pageBreakBefore w:val="0"/>
        <w:widowControl w:val="0"/>
        <w:numPr>
          <w:ilvl w:val="0"/>
          <w:numId w:val="0"/>
        </w:numPr>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kern w:val="2"/>
          <w:sz w:val="21"/>
          <w:szCs w:val="21"/>
          <w:highlight w:val="none"/>
          <w:lang w:val="en-US" w:eastAsia="zh-CN" w:bidi="ar-SA"/>
        </w:rPr>
      </w:pPr>
      <w:r>
        <w:rPr>
          <w:rFonts w:hint="default" w:ascii="仿宋_GB2312" w:hAnsi="仿宋_GB2312" w:eastAsia="仿宋_GB2312" w:cs="Times New Roman"/>
          <w:b w:val="0"/>
          <w:bCs w:val="0"/>
          <w:kern w:val="2"/>
          <w:sz w:val="21"/>
          <w:szCs w:val="21"/>
          <w:highlight w:val="none"/>
          <w:lang w:val="en-US" w:eastAsia="zh-CN" w:bidi="ar-SA"/>
        </w:rPr>
        <w:t>3、</w:t>
      </w:r>
      <w:r>
        <w:rPr>
          <w:rFonts w:hint="eastAsia" w:ascii="仿宋_GB2312" w:hAnsi="仿宋_GB2312" w:eastAsia="仿宋_GB2312" w:cs="仿宋_GB2312"/>
          <w:kern w:val="2"/>
          <w:sz w:val="21"/>
          <w:szCs w:val="21"/>
          <w:highlight w:val="none"/>
          <w:lang w:val="en-US" w:eastAsia="zh-CN" w:bidi="ar-SA"/>
        </w:rPr>
        <w:t>前述地址、人员、及联系方式如有变化，应及时书面通知对方，书面通知前已按原联系方式发送的函件等，视为已经送达。</w:t>
      </w:r>
    </w:p>
    <w:p>
      <w:pPr>
        <w:keepNext w:val="0"/>
        <w:keepLines w:val="0"/>
        <w:pageBreakBefore w:val="0"/>
        <w:widowControl w:val="0"/>
        <w:numPr>
          <w:ilvl w:val="0"/>
          <w:numId w:val="0"/>
        </w:numPr>
        <w:wordWrap/>
        <w:overflowPunct/>
        <w:topLinePunct w:val="0"/>
        <w:bidi w:val="0"/>
        <w:spacing w:line="520" w:lineRule="exact"/>
        <w:ind w:left="0" w:leftChars="0" w:firstLine="428"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default" w:ascii="仿宋_GB2312" w:hAnsi="仿宋_GB2312" w:eastAsia="仿宋_GB2312" w:cs="Times New Roman"/>
          <w:b w:val="0"/>
          <w:bCs w:val="0"/>
          <w:spacing w:val="2"/>
          <w:kern w:val="2"/>
          <w:sz w:val="21"/>
          <w:szCs w:val="21"/>
          <w:highlight w:val="none"/>
          <w:lang w:val="en-US" w:eastAsia="zh-CN" w:bidi="ar-SA"/>
        </w:rPr>
        <w:t>4、</w:t>
      </w:r>
      <w:r>
        <w:rPr>
          <w:rFonts w:hint="eastAsia" w:ascii="仿宋_GB2312" w:hAnsi="仿宋_GB2312" w:eastAsia="仿宋_GB2312" w:cs="仿宋_GB2312"/>
          <w:kern w:val="2"/>
          <w:sz w:val="21"/>
          <w:szCs w:val="21"/>
          <w:highlight w:val="none"/>
          <w:lang w:val="en-US" w:eastAsia="zh-CN" w:bidi="ar-SA"/>
        </w:rPr>
        <w:t>甲方发送的一切证书、通知、函件或指令均可通过上述有效联系方式送达乙方。邮寄或专人送达以签收日期作为送达日，如果收件人拒签，以拒签日为送达日；电子邮件送达的，以邮箱显示的发送之日为送达日（即使该邮件被拒收）。</w:t>
      </w:r>
    </w:p>
    <w:p>
      <w:pPr>
        <w:keepNext w:val="0"/>
        <w:keepLines w:val="0"/>
        <w:pageBreakBefore w:val="0"/>
        <w:widowControl w:val="0"/>
        <w:numPr>
          <w:ilvl w:val="1"/>
          <w:numId w:val="0"/>
        </w:numPr>
        <w:tabs>
          <w:tab w:val="left" w:pos="5640"/>
        </w:tabs>
        <w:wordWrap/>
        <w:overflowPunct/>
        <w:topLinePunct w:val="0"/>
        <w:bidi w:val="0"/>
        <w:spacing w:line="520" w:lineRule="exact"/>
        <w:ind w:left="0" w:leftChars="0" w:firstLine="430" w:firstLineChars="200"/>
        <w:jc w:val="both"/>
        <w:outlineLvl w:val="9"/>
        <w:rPr>
          <w:rFonts w:hint="default"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十六、</w:t>
      </w:r>
      <w:r>
        <w:rPr>
          <w:rFonts w:hint="eastAsia" w:ascii="仿宋_GB2312" w:hAnsi="仿宋_GB2312" w:cs="仿宋_GB2312"/>
          <w:b/>
          <w:spacing w:val="2"/>
          <w:kern w:val="2"/>
          <w:sz w:val="21"/>
          <w:szCs w:val="21"/>
          <w:highlight w:val="none"/>
          <w:lang w:val="en-US" w:eastAsia="zh-CN" w:bidi="ar-SA"/>
        </w:rPr>
        <w:t>履约保证金</w:t>
      </w:r>
    </w:p>
    <w:p>
      <w:pPr>
        <w:keepNext w:val="0"/>
        <w:keepLines w:val="0"/>
        <w:pageBreakBefore w:val="0"/>
        <w:tabs>
          <w:tab w:val="left" w:pos="5640"/>
        </w:tabs>
        <w:wordWrap/>
        <w:overflowPunct/>
        <w:topLinePunct w:val="0"/>
        <w:bidi w:val="0"/>
        <w:spacing w:line="520" w:lineRule="exact"/>
        <w:jc w:val="both"/>
        <w:outlineLvl w:val="9"/>
        <w:rPr>
          <w:rFonts w:hint="default" w:ascii="仿宋_GB2312" w:hAnsi="仿宋_GB2312" w:eastAsia="仿宋_GB2312" w:cs="仿宋_GB2312"/>
          <w:spacing w:val="2"/>
          <w:sz w:val="21"/>
          <w:szCs w:val="21"/>
          <w:highlight w:val="none"/>
          <w:lang w:val="en-US" w:eastAsia="zh-CN"/>
        </w:rPr>
      </w:pPr>
      <w:r>
        <w:rPr>
          <w:rFonts w:hint="eastAsia" w:ascii="仿宋_GB2312" w:hAnsi="仿宋_GB2312" w:cs="仿宋_GB2312"/>
          <w:spacing w:val="2"/>
          <w:sz w:val="21"/>
          <w:szCs w:val="21"/>
          <w:highlight w:val="none"/>
          <w:lang w:val="en-US" w:eastAsia="zh-CN"/>
        </w:rPr>
        <w:t>甲方从应付乙方货款中扣除</w:t>
      </w:r>
      <w:r>
        <w:rPr>
          <w:rFonts w:hint="eastAsia" w:ascii="仿宋_GB2312" w:hAnsi="仿宋_GB2312" w:cs="仿宋_GB2312"/>
          <w:b/>
          <w:bCs/>
          <w:spacing w:val="2"/>
          <w:sz w:val="21"/>
          <w:szCs w:val="21"/>
          <w:highlight w:val="none"/>
          <w:lang w:val="en-US" w:eastAsia="zh-CN"/>
        </w:rPr>
        <w:t>20万</w:t>
      </w:r>
      <w:r>
        <w:rPr>
          <w:rFonts w:hint="eastAsia" w:ascii="仿宋_GB2312" w:hAnsi="仿宋_GB2312" w:cs="仿宋_GB2312"/>
          <w:spacing w:val="2"/>
          <w:sz w:val="21"/>
          <w:szCs w:val="21"/>
          <w:highlight w:val="none"/>
          <w:lang w:val="en-US" w:eastAsia="zh-CN"/>
        </w:rPr>
        <w:t>元作为履约保证金。若合同履约期间因乙方违约扣减履约保证金的，甲方有权从应付乙方货款中扣除相应金额予以补足。合同执行完毕，甲方于15个工作日内向乙方无息退还剩余履约保证金。</w:t>
      </w:r>
    </w:p>
    <w:p>
      <w:pPr>
        <w:keepNext w:val="0"/>
        <w:keepLines w:val="0"/>
        <w:pageBreakBefore w:val="0"/>
        <w:widowControl w:val="0"/>
        <w:numPr>
          <w:ilvl w:val="1"/>
          <w:numId w:val="0"/>
        </w:numPr>
        <w:tabs>
          <w:tab w:val="left" w:pos="5640"/>
        </w:tabs>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十七、争议解决办法</w:t>
      </w:r>
    </w:p>
    <w:p>
      <w:pPr>
        <w:keepNext w:val="0"/>
        <w:keepLines w:val="0"/>
        <w:pageBreakBefore w:val="0"/>
        <w:tabs>
          <w:tab w:val="left" w:pos="5640"/>
        </w:tabs>
        <w:wordWrap/>
        <w:overflowPunct/>
        <w:topLinePunct w:val="0"/>
        <w:bidi w:val="0"/>
        <w:spacing w:line="520" w:lineRule="exact"/>
        <w:ind w:left="0" w:leftChars="0" w:firstLine="420" w:firstLineChars="200"/>
        <w:jc w:val="both"/>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如发生争议，甲、乙双方友好协商解决；若通过协商尚不能达成一致意见，则通过诉讼方式解决。双方约定：诉讼由甲方公司住所地人民法院管辖。</w:t>
      </w:r>
    </w:p>
    <w:p>
      <w:pPr>
        <w:keepNext w:val="0"/>
        <w:keepLines w:val="0"/>
        <w:pageBreakBefore w:val="0"/>
        <w:widowControl w:val="0"/>
        <w:numPr>
          <w:ilvl w:val="0"/>
          <w:numId w:val="8"/>
        </w:numPr>
        <w:tabs>
          <w:tab w:val="left" w:pos="5640"/>
        </w:tabs>
        <w:wordWrap/>
        <w:overflowPunct/>
        <w:topLinePunct w:val="0"/>
        <w:bidi w:val="0"/>
        <w:spacing w:line="520" w:lineRule="exact"/>
        <w:ind w:left="0" w:leftChars="0" w:firstLine="430" w:firstLineChars="200"/>
        <w:jc w:val="both"/>
        <w:outlineLvl w:val="9"/>
        <w:rPr>
          <w:rFonts w:hint="eastAsia" w:ascii="仿宋_GB2312" w:hAnsi="仿宋_GB2312" w:eastAsia="仿宋_GB2312" w:cs="仿宋_GB2312"/>
          <w:b/>
          <w:spacing w:val="2"/>
          <w:kern w:val="2"/>
          <w:sz w:val="21"/>
          <w:szCs w:val="21"/>
          <w:highlight w:val="none"/>
          <w:lang w:val="en-US" w:eastAsia="zh-CN" w:bidi="ar-SA"/>
        </w:rPr>
      </w:pPr>
      <w:r>
        <w:rPr>
          <w:rFonts w:hint="eastAsia" w:ascii="仿宋_GB2312" w:hAnsi="仿宋_GB2312" w:eastAsia="仿宋_GB2312" w:cs="仿宋_GB2312"/>
          <w:b/>
          <w:spacing w:val="2"/>
          <w:kern w:val="2"/>
          <w:sz w:val="21"/>
          <w:szCs w:val="21"/>
          <w:highlight w:val="none"/>
          <w:lang w:val="en-US" w:eastAsia="zh-CN" w:bidi="ar-SA"/>
        </w:rPr>
        <w:t>本合同一式陆份，</w:t>
      </w:r>
      <w:r>
        <w:rPr>
          <w:rFonts w:hint="eastAsia" w:ascii="仿宋_GB2312" w:hAnsi="仿宋_GB2312" w:cs="仿宋_GB2312"/>
          <w:b/>
          <w:spacing w:val="2"/>
          <w:kern w:val="2"/>
          <w:sz w:val="21"/>
          <w:szCs w:val="21"/>
          <w:highlight w:val="none"/>
          <w:lang w:val="en-US" w:eastAsia="zh-CN" w:bidi="ar-SA"/>
        </w:rPr>
        <w:t>甲方</w:t>
      </w:r>
      <w:r>
        <w:rPr>
          <w:rFonts w:hint="eastAsia" w:ascii="仿宋_GB2312" w:hAnsi="仿宋_GB2312" w:eastAsia="仿宋_GB2312" w:cs="仿宋_GB2312"/>
          <w:b/>
          <w:spacing w:val="2"/>
          <w:kern w:val="2"/>
          <w:sz w:val="21"/>
          <w:szCs w:val="21"/>
          <w:highlight w:val="none"/>
          <w:lang w:val="en-US" w:eastAsia="zh-CN" w:bidi="ar-SA"/>
        </w:rPr>
        <w:t>执</w:t>
      </w:r>
      <w:r>
        <w:rPr>
          <w:rFonts w:hint="eastAsia" w:ascii="仿宋_GB2312" w:hAnsi="仿宋_GB2312" w:cs="仿宋_GB2312"/>
          <w:b/>
          <w:spacing w:val="2"/>
          <w:kern w:val="2"/>
          <w:sz w:val="21"/>
          <w:szCs w:val="21"/>
          <w:highlight w:val="none"/>
          <w:lang w:val="en-US" w:eastAsia="zh-CN" w:bidi="ar-SA"/>
        </w:rPr>
        <w:t>肆</w:t>
      </w:r>
      <w:r>
        <w:rPr>
          <w:rFonts w:hint="eastAsia" w:ascii="仿宋_GB2312" w:hAnsi="仿宋_GB2312" w:eastAsia="仿宋_GB2312" w:cs="仿宋_GB2312"/>
          <w:b/>
          <w:spacing w:val="2"/>
          <w:kern w:val="2"/>
          <w:sz w:val="21"/>
          <w:szCs w:val="21"/>
          <w:highlight w:val="none"/>
          <w:lang w:val="en-US" w:eastAsia="zh-CN" w:bidi="ar-SA"/>
        </w:rPr>
        <w:t>份</w:t>
      </w:r>
      <w:r>
        <w:rPr>
          <w:rFonts w:hint="eastAsia" w:ascii="仿宋_GB2312" w:hAnsi="仿宋_GB2312" w:cs="仿宋_GB2312"/>
          <w:b/>
          <w:spacing w:val="2"/>
          <w:kern w:val="2"/>
          <w:sz w:val="21"/>
          <w:szCs w:val="21"/>
          <w:highlight w:val="none"/>
          <w:lang w:val="en-US" w:eastAsia="zh-CN" w:bidi="ar-SA"/>
        </w:rPr>
        <w:t>，乙方执贰份</w:t>
      </w:r>
      <w:r>
        <w:rPr>
          <w:rFonts w:hint="eastAsia" w:ascii="仿宋_GB2312" w:hAnsi="仿宋_GB2312" w:eastAsia="仿宋_GB2312" w:cs="仿宋_GB2312"/>
          <w:b/>
          <w:spacing w:val="2"/>
          <w:kern w:val="2"/>
          <w:sz w:val="21"/>
          <w:szCs w:val="21"/>
          <w:highlight w:val="none"/>
          <w:lang w:val="en-US" w:eastAsia="zh-CN" w:bidi="ar-SA"/>
        </w:rPr>
        <w:t>。本合同自双方签字和盖章后生效，</w:t>
      </w:r>
      <w:r>
        <w:rPr>
          <w:rFonts w:hint="eastAsia" w:ascii="仿宋_GB2312" w:hAnsi="仿宋_GB2312" w:cs="仿宋_GB2312"/>
          <w:b/>
          <w:spacing w:val="2"/>
          <w:kern w:val="2"/>
          <w:sz w:val="21"/>
          <w:szCs w:val="21"/>
          <w:highlight w:val="none"/>
          <w:lang w:val="en-US" w:eastAsia="zh-CN" w:bidi="ar-SA"/>
        </w:rPr>
        <w:t>至甲方项目完结</w:t>
      </w:r>
      <w:r>
        <w:rPr>
          <w:rFonts w:hint="eastAsia" w:ascii="仿宋_GB2312" w:hAnsi="仿宋_GB2312" w:eastAsia="仿宋_GB2312" w:cs="仿宋_GB2312"/>
          <w:b/>
          <w:spacing w:val="2"/>
          <w:kern w:val="2"/>
          <w:sz w:val="21"/>
          <w:szCs w:val="21"/>
          <w:highlight w:val="none"/>
          <w:lang w:val="en-US" w:eastAsia="zh-CN" w:bidi="ar-SA"/>
        </w:rPr>
        <w:t>或者解除时终止。</w:t>
      </w:r>
    </w:p>
    <w:p>
      <w:pPr>
        <w:keepNext w:val="0"/>
        <w:keepLines w:val="0"/>
        <w:pageBreakBefore w:val="0"/>
        <w:widowControl w:val="0"/>
        <w:numPr>
          <w:ilvl w:val="0"/>
          <w:numId w:val="0"/>
        </w:numPr>
        <w:tabs>
          <w:tab w:val="left" w:pos="5640"/>
        </w:tabs>
        <w:wordWrap/>
        <w:overflowPunct/>
        <w:topLinePunct w:val="0"/>
        <w:bidi w:val="0"/>
        <w:spacing w:line="520" w:lineRule="exact"/>
        <w:jc w:val="both"/>
        <w:outlineLvl w:val="9"/>
        <w:rPr>
          <w:rFonts w:hint="eastAsia" w:ascii="仿宋_GB2312" w:hAnsi="仿宋_GB2312" w:eastAsia="仿宋_GB2312" w:cs="仿宋_GB2312"/>
          <w:b/>
          <w:spacing w:val="2"/>
          <w:kern w:val="2"/>
          <w:sz w:val="21"/>
          <w:szCs w:val="21"/>
          <w:highlight w:val="none"/>
          <w:lang w:val="en-US" w:eastAsia="zh-CN" w:bidi="ar-SA"/>
        </w:rPr>
      </w:pPr>
    </w:p>
    <w:p>
      <w:pPr>
        <w:keepNext w:val="0"/>
        <w:keepLines w:val="0"/>
        <w:pageBreakBefore w:val="0"/>
        <w:widowControl w:val="0"/>
        <w:numPr>
          <w:ilvl w:val="0"/>
          <w:numId w:val="0"/>
        </w:numPr>
        <w:tabs>
          <w:tab w:val="left" w:pos="5640"/>
        </w:tabs>
        <w:wordWrap/>
        <w:overflowPunct/>
        <w:topLinePunct w:val="0"/>
        <w:bidi w:val="0"/>
        <w:spacing w:line="520" w:lineRule="exact"/>
        <w:jc w:val="both"/>
        <w:outlineLvl w:val="9"/>
        <w:rPr>
          <w:rFonts w:hint="eastAsia" w:ascii="仿宋_GB2312" w:hAnsi="仿宋_GB2312" w:eastAsia="仿宋_GB2312" w:cs="仿宋_GB2312"/>
          <w:b/>
          <w:spacing w:val="2"/>
          <w:kern w:val="2"/>
          <w:sz w:val="21"/>
          <w:szCs w:val="21"/>
          <w:highlight w:val="none"/>
          <w:lang w:val="en-US" w:eastAsia="zh-CN" w:bidi="ar-SA"/>
        </w:rPr>
      </w:pPr>
    </w:p>
    <w:p>
      <w:pPr>
        <w:ind w:left="0" w:leftChars="0" w:firstLine="0" w:firstLineChars="0"/>
        <w:rPr>
          <w:rFonts w:hint="eastAsia"/>
          <w:highlight w:val="none"/>
          <w:lang w:val="en-US" w:eastAsia="zh-CN"/>
        </w:rPr>
      </w:pPr>
    </w:p>
    <w:bookmarkEnd w:id="44"/>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7"/>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7"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甲方：</w:t>
            </w:r>
          </w:p>
        </w:tc>
        <w:tc>
          <w:tcPr>
            <w:tcW w:w="4978"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7"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地址：</w:t>
            </w:r>
          </w:p>
        </w:tc>
        <w:tc>
          <w:tcPr>
            <w:tcW w:w="4978"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7"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法定代表人</w:t>
            </w:r>
            <w:r>
              <w:rPr>
                <w:rFonts w:hint="eastAsia" w:ascii="仿宋_GB2312" w:hAnsi="仿宋_GB2312" w:cs="仿宋_GB2312"/>
                <w:sz w:val="21"/>
                <w:szCs w:val="21"/>
                <w:highlight w:val="none"/>
                <w:lang w:val="en-US" w:eastAsia="zh-CN"/>
              </w:rPr>
              <w:t>：</w:t>
            </w:r>
          </w:p>
        </w:tc>
        <w:tc>
          <w:tcPr>
            <w:tcW w:w="4978"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法定代表人</w:t>
            </w:r>
            <w:r>
              <w:rPr>
                <w:rFonts w:hint="eastAsia" w:ascii="仿宋_GB2312" w:hAnsi="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7"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委托代理人</w:t>
            </w:r>
            <w:r>
              <w:rPr>
                <w:rFonts w:hint="eastAsia" w:ascii="仿宋_GB2312" w:hAnsi="仿宋_GB2312" w:cs="仿宋_GB2312"/>
                <w:sz w:val="21"/>
                <w:szCs w:val="21"/>
                <w:highlight w:val="none"/>
                <w:lang w:val="en-US" w:eastAsia="zh-CN"/>
              </w:rPr>
              <w:t>：</w:t>
            </w:r>
          </w:p>
        </w:tc>
        <w:tc>
          <w:tcPr>
            <w:tcW w:w="4978"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委托代理人</w:t>
            </w:r>
            <w:r>
              <w:rPr>
                <w:rFonts w:hint="eastAsia" w:ascii="仿宋_GB2312" w:hAnsi="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7"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电话</w:t>
            </w:r>
            <w:r>
              <w:rPr>
                <w:rFonts w:hint="eastAsia" w:ascii="仿宋_GB2312" w:hAnsi="仿宋_GB2312" w:cs="仿宋_GB2312"/>
                <w:sz w:val="21"/>
                <w:szCs w:val="21"/>
                <w:highlight w:val="none"/>
                <w:lang w:val="en-US" w:eastAsia="zh-CN"/>
              </w:rPr>
              <w:t>：</w:t>
            </w:r>
          </w:p>
        </w:tc>
        <w:tc>
          <w:tcPr>
            <w:tcW w:w="4978" w:type="dxa"/>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电话</w:t>
            </w:r>
            <w:r>
              <w:rPr>
                <w:rFonts w:hint="eastAsia" w:ascii="仿宋_GB2312" w:hAnsi="仿宋_GB2312" w:cs="仿宋_GB2312"/>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方正小标宋_GBK" w:hAnsi="方正小标宋_GBK" w:eastAsia="方正小标宋_GBK" w:cs="方正小标宋_GBK"/>
          <w:b/>
          <w:bCs/>
          <w:sz w:val="32"/>
          <w:szCs w:val="32"/>
          <w:highlight w:val="none"/>
          <w:lang w:eastAsia="zh-CN"/>
        </w:rPr>
      </w:pPr>
      <w:r>
        <w:rPr>
          <w:rFonts w:hint="eastAsia" w:ascii="黑体" w:hAnsi="黑体" w:eastAsia="黑体" w:cs="黑体"/>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方正小标宋_GBK" w:hAnsi="方正小标宋_GBK" w:eastAsia="方正小标宋_GBK" w:cs="方正小标宋_GBK"/>
          <w:b/>
          <w:bCs/>
          <w:sz w:val="32"/>
          <w:szCs w:val="32"/>
          <w:highlight w:val="none"/>
          <w:lang w:eastAsia="zh-CN"/>
        </w:rPr>
      </w:pPr>
      <w:r>
        <w:rPr>
          <w:rFonts w:hint="eastAsia" w:ascii="方正小标宋_GBK" w:hAnsi="方正小标宋_GBK" w:eastAsia="方正小标宋_GBK" w:cs="方正小标宋_GBK"/>
          <w:b/>
          <w:bCs/>
          <w:sz w:val="32"/>
          <w:szCs w:val="32"/>
          <w:highlight w:val="none"/>
          <w:lang w:val="en-US" w:eastAsia="zh-CN"/>
        </w:rPr>
        <w:t>四川</w:t>
      </w:r>
      <w:r>
        <w:rPr>
          <w:rFonts w:hint="eastAsia" w:ascii="方正小标宋_GBK" w:hAnsi="方正小标宋_GBK" w:eastAsia="方正小标宋_GBK" w:cs="方正小标宋_GBK"/>
          <w:b/>
          <w:bCs/>
          <w:sz w:val="32"/>
          <w:szCs w:val="32"/>
          <w:highlight w:val="none"/>
          <w:lang w:eastAsia="zh-CN"/>
        </w:rPr>
        <w:t>蜀物兴川物流发展有限公司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ascii="黑体" w:hAnsi="黑体" w:eastAsia="黑体" w:cs="仿宋"/>
          <w:b/>
          <w:bCs/>
          <w:sz w:val="32"/>
          <w:szCs w:val="32"/>
          <w:highlight w:val="none"/>
        </w:rPr>
      </w:pPr>
      <w:r>
        <w:rPr>
          <w:rFonts w:hint="eastAsia" w:ascii="方正小标宋_GBK" w:hAnsi="方正小标宋_GBK" w:eastAsia="方正小标宋_GBK" w:cs="方正小标宋_GBK"/>
          <w:b/>
          <w:bCs/>
          <w:sz w:val="32"/>
          <w:szCs w:val="32"/>
          <w:highlight w:val="none"/>
        </w:rPr>
        <w:t>采购</w:t>
      </w:r>
      <w:r>
        <w:rPr>
          <w:rFonts w:hint="eastAsia" w:ascii="方正小标宋_GBK" w:hAnsi="方正小标宋_GBK" w:eastAsia="方正小标宋_GBK" w:cs="方正小标宋_GBK"/>
          <w:b/>
          <w:bCs/>
          <w:sz w:val="32"/>
          <w:szCs w:val="32"/>
          <w:highlight w:val="none"/>
          <w:lang w:val="en-US" w:eastAsia="zh-CN"/>
        </w:rPr>
        <w:t>计划</w:t>
      </w:r>
      <w:r>
        <w:rPr>
          <w:rFonts w:hint="eastAsia" w:ascii="方正小标宋_GBK" w:hAnsi="方正小标宋_GBK" w:eastAsia="方正小标宋_GBK" w:cs="方正小标宋_GBK"/>
          <w:b/>
          <w:bCs/>
          <w:sz w:val="32"/>
          <w:szCs w:val="32"/>
          <w:highlight w:val="none"/>
        </w:rPr>
        <w:t>确认表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u w:val="single"/>
          <w:lang w:val="en-US" w:eastAsia="zh-CN"/>
        </w:rPr>
        <w:t>**********有限公司</w:t>
      </w:r>
    </w:p>
    <w:p>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根据贵司与我公司签定的《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合同》（合同号：</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rPr>
        <w:t>)，现将我</w:t>
      </w:r>
      <w:r>
        <w:rPr>
          <w:rFonts w:hint="eastAsia" w:ascii="仿宋" w:hAnsi="仿宋" w:eastAsia="仿宋" w:cs="仿宋"/>
          <w:sz w:val="28"/>
          <w:szCs w:val="28"/>
          <w:highlight w:val="none"/>
          <w:lang w:val="en-US" w:eastAsia="zh-CN"/>
        </w:rPr>
        <w:t>公</w:t>
      </w:r>
      <w:r>
        <w:rPr>
          <w:rFonts w:hint="eastAsia" w:ascii="仿宋" w:hAnsi="仿宋" w:eastAsia="仿宋" w:cs="仿宋"/>
          <w:sz w:val="28"/>
          <w:szCs w:val="28"/>
          <w:highlight w:val="none"/>
        </w:rPr>
        <w:t>司</w:t>
      </w:r>
      <w:r>
        <w:rPr>
          <w:rFonts w:hint="eastAsia" w:ascii="仿宋" w:hAnsi="仿宋" w:eastAsia="仿宋" w:cs="仿宋"/>
          <w:sz w:val="28"/>
          <w:szCs w:val="28"/>
          <w:highlight w:val="none"/>
          <w:lang w:val="en-US" w:eastAsia="zh-CN"/>
        </w:rPr>
        <w:t>批次采购计划</w:t>
      </w:r>
      <w:r>
        <w:rPr>
          <w:rFonts w:hint="eastAsia" w:ascii="仿宋" w:hAnsi="仿宋" w:eastAsia="仿宋" w:cs="仿宋"/>
          <w:sz w:val="28"/>
          <w:szCs w:val="28"/>
          <w:highlight w:val="none"/>
        </w:rPr>
        <w:t>发给贵司，</w:t>
      </w:r>
      <w:r>
        <w:rPr>
          <w:rFonts w:hint="eastAsia" w:ascii="仿宋" w:hAnsi="仿宋" w:eastAsia="仿宋" w:cs="仿宋"/>
          <w:sz w:val="28"/>
          <w:szCs w:val="28"/>
          <w:highlight w:val="none"/>
          <w:lang w:val="en-US" w:eastAsia="zh-CN"/>
        </w:rPr>
        <w:t>请贵司盖章确认后按时将货物送至指定地点并交我司指定收货人签收</w:t>
      </w:r>
      <w:r>
        <w:rPr>
          <w:rFonts w:hint="eastAsia" w:ascii="仿宋" w:hAnsi="仿宋" w:eastAsia="仿宋" w:cs="仿宋"/>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70" w:leftChars="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一、货物名称、</w:t>
      </w:r>
      <w:r>
        <w:rPr>
          <w:rFonts w:hint="eastAsia" w:ascii="仿宋" w:hAnsi="仿宋" w:eastAsia="仿宋" w:cs="仿宋"/>
          <w:sz w:val="28"/>
          <w:szCs w:val="28"/>
          <w:highlight w:val="none"/>
        </w:rPr>
        <w:t>规格型号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数量</w:t>
      </w:r>
      <w:r>
        <w:rPr>
          <w:rFonts w:hint="eastAsia" w:ascii="仿宋" w:hAnsi="仿宋" w:eastAsia="仿宋" w:cs="仿宋"/>
          <w:sz w:val="28"/>
          <w:szCs w:val="28"/>
          <w:highlight w:val="none"/>
        </w:rPr>
        <w:t>、单价</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，详见下表</w:t>
      </w:r>
    </w:p>
    <w:tbl>
      <w:tblPr>
        <w:tblStyle w:val="21"/>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0"/>
        <w:gridCol w:w="1813"/>
        <w:gridCol w:w="1337"/>
        <w:gridCol w:w="1352"/>
        <w:gridCol w:w="1027"/>
        <w:gridCol w:w="1181"/>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2" w:hRule="atLeast"/>
          <w:jc w:val="center"/>
        </w:trPr>
        <w:tc>
          <w:tcPr>
            <w:tcW w:w="970" w:type="dxa"/>
            <w:tcBorders>
              <w:tl2br w:val="nil"/>
              <w:tr2bl w:val="nil"/>
            </w:tcBorders>
            <w:shd w:val="clear" w:color="auto" w:fill="FFFFFF"/>
            <w:vAlign w:val="center"/>
          </w:tcPr>
          <w:p>
            <w:pPr>
              <w:widowControl/>
              <w:kinsoku w:val="0"/>
              <w:autoSpaceDE w:val="0"/>
              <w:autoSpaceDN w:val="0"/>
              <w:adjustRightInd w:val="0"/>
              <w:snapToGrid w:val="0"/>
              <w:spacing w:line="240" w:lineRule="auto"/>
              <w:ind w:firstLine="0" w:firstLineChars="0"/>
              <w:jc w:val="center"/>
              <w:textAlignment w:val="center"/>
              <w:outlineLvl w:val="9"/>
              <w:rPr>
                <w:rFonts w:hint="eastAsia" w:ascii="宋体" w:hAnsi="宋体" w:eastAsia="Arial" w:cs="宋体"/>
                <w:b/>
                <w:snapToGrid w:val="0"/>
                <w:color w:val="000000"/>
                <w:kern w:val="0"/>
                <w:sz w:val="22"/>
                <w:szCs w:val="22"/>
                <w:highlight w:val="none"/>
                <w:lang w:val="en-US" w:eastAsia="zh-CN" w:bidi="ar"/>
              </w:rPr>
            </w:pPr>
            <w:r>
              <w:rPr>
                <w:rFonts w:hint="eastAsia" w:ascii="宋体" w:hAnsi="宋体" w:eastAsia="Arial" w:cs="宋体"/>
                <w:b/>
                <w:snapToGrid w:val="0"/>
                <w:color w:val="000000"/>
                <w:kern w:val="0"/>
                <w:sz w:val="22"/>
                <w:szCs w:val="22"/>
                <w:highlight w:val="none"/>
                <w:lang w:val="en-US" w:eastAsia="zh-CN" w:bidi="ar"/>
              </w:rPr>
              <w:t>序号</w:t>
            </w:r>
          </w:p>
        </w:tc>
        <w:tc>
          <w:tcPr>
            <w:tcW w:w="1813" w:type="dxa"/>
            <w:tcBorders>
              <w:tl2br w:val="nil"/>
              <w:tr2bl w:val="nil"/>
            </w:tcBorders>
            <w:shd w:val="clear" w:color="auto" w:fill="FFFFFF"/>
            <w:vAlign w:val="center"/>
          </w:tcPr>
          <w:p>
            <w:pPr>
              <w:widowControl/>
              <w:kinsoku w:val="0"/>
              <w:autoSpaceDE w:val="0"/>
              <w:autoSpaceDN w:val="0"/>
              <w:adjustRightInd w:val="0"/>
              <w:snapToGrid w:val="0"/>
              <w:spacing w:line="240" w:lineRule="auto"/>
              <w:ind w:firstLine="0" w:firstLineChars="0"/>
              <w:jc w:val="center"/>
              <w:textAlignment w:val="center"/>
              <w:outlineLvl w:val="9"/>
              <w:rPr>
                <w:rFonts w:hint="eastAsia" w:ascii="宋体" w:hAnsi="宋体" w:eastAsia="Arial" w:cs="宋体"/>
                <w:b/>
                <w:snapToGrid w:val="0"/>
                <w:color w:val="000000"/>
                <w:kern w:val="0"/>
                <w:sz w:val="22"/>
                <w:szCs w:val="22"/>
                <w:highlight w:val="none"/>
                <w:lang w:bidi="ar"/>
              </w:rPr>
            </w:pPr>
            <w:r>
              <w:rPr>
                <w:rFonts w:hint="eastAsia" w:ascii="宋体" w:hAnsi="宋体" w:eastAsia="Arial" w:cs="宋体"/>
                <w:b/>
                <w:snapToGrid w:val="0"/>
                <w:color w:val="000000"/>
                <w:kern w:val="0"/>
                <w:sz w:val="22"/>
                <w:szCs w:val="22"/>
                <w:highlight w:val="none"/>
                <w:lang w:bidi="ar"/>
              </w:rPr>
              <w:t>物资名称</w:t>
            </w:r>
          </w:p>
        </w:tc>
        <w:tc>
          <w:tcPr>
            <w:tcW w:w="1337" w:type="dxa"/>
            <w:tcBorders>
              <w:tl2br w:val="nil"/>
              <w:tr2bl w:val="nil"/>
            </w:tcBorders>
            <w:shd w:val="clear" w:color="auto" w:fill="FFFFFF"/>
            <w:vAlign w:val="center"/>
          </w:tcPr>
          <w:p>
            <w:pPr>
              <w:widowControl/>
              <w:kinsoku w:val="0"/>
              <w:autoSpaceDE w:val="0"/>
              <w:autoSpaceDN w:val="0"/>
              <w:adjustRightInd w:val="0"/>
              <w:snapToGrid w:val="0"/>
              <w:spacing w:line="240" w:lineRule="auto"/>
              <w:ind w:firstLine="0" w:firstLineChars="0"/>
              <w:jc w:val="center"/>
              <w:textAlignment w:val="center"/>
              <w:outlineLvl w:val="9"/>
              <w:rPr>
                <w:rFonts w:hint="eastAsia" w:ascii="宋体" w:hAnsi="宋体" w:eastAsia="Arial" w:cs="宋体"/>
                <w:b/>
                <w:snapToGrid w:val="0"/>
                <w:color w:val="000000"/>
                <w:kern w:val="0"/>
                <w:sz w:val="22"/>
                <w:szCs w:val="22"/>
                <w:highlight w:val="none"/>
                <w:lang w:bidi="ar"/>
              </w:rPr>
            </w:pPr>
            <w:r>
              <w:rPr>
                <w:rFonts w:hint="eastAsia" w:ascii="宋体" w:hAnsi="宋体" w:eastAsia="Arial" w:cs="宋体"/>
                <w:b/>
                <w:snapToGrid w:val="0"/>
                <w:color w:val="000000"/>
                <w:kern w:val="0"/>
                <w:sz w:val="22"/>
                <w:szCs w:val="22"/>
                <w:highlight w:val="none"/>
                <w:lang w:bidi="ar"/>
              </w:rPr>
              <w:t>规格型号</w:t>
            </w:r>
          </w:p>
        </w:tc>
        <w:tc>
          <w:tcPr>
            <w:tcW w:w="1352" w:type="dxa"/>
            <w:tcBorders>
              <w:tl2br w:val="nil"/>
              <w:tr2bl w:val="nil"/>
            </w:tcBorders>
            <w:shd w:val="clear" w:color="auto" w:fill="FFFFFF"/>
            <w:vAlign w:val="center"/>
          </w:tcPr>
          <w:p>
            <w:pPr>
              <w:widowControl/>
              <w:kinsoku w:val="0"/>
              <w:autoSpaceDE w:val="0"/>
              <w:autoSpaceDN w:val="0"/>
              <w:adjustRightInd w:val="0"/>
              <w:snapToGrid w:val="0"/>
              <w:spacing w:line="240" w:lineRule="auto"/>
              <w:ind w:firstLine="0" w:firstLineChars="0"/>
              <w:jc w:val="center"/>
              <w:textAlignment w:val="center"/>
              <w:outlineLvl w:val="9"/>
              <w:rPr>
                <w:rFonts w:hint="eastAsia" w:ascii="宋体" w:hAnsi="宋体" w:eastAsia="Arial" w:cs="宋体"/>
                <w:b/>
                <w:snapToGrid w:val="0"/>
                <w:color w:val="000000"/>
                <w:kern w:val="0"/>
                <w:sz w:val="22"/>
                <w:szCs w:val="22"/>
                <w:highlight w:val="none"/>
                <w:lang w:bidi="ar"/>
              </w:rPr>
            </w:pPr>
            <w:r>
              <w:rPr>
                <w:rFonts w:hint="eastAsia" w:ascii="宋体" w:hAnsi="宋体" w:eastAsia="Arial" w:cs="宋体"/>
                <w:b/>
                <w:snapToGrid w:val="0"/>
                <w:color w:val="000000"/>
                <w:kern w:val="0"/>
                <w:sz w:val="22"/>
                <w:szCs w:val="22"/>
                <w:highlight w:val="none"/>
                <w:lang w:bidi="ar"/>
              </w:rPr>
              <w:t>数量（吨）</w:t>
            </w:r>
          </w:p>
        </w:tc>
        <w:tc>
          <w:tcPr>
            <w:tcW w:w="1027" w:type="dxa"/>
            <w:tcBorders>
              <w:tl2br w:val="nil"/>
              <w:tr2bl w:val="nil"/>
            </w:tcBorders>
            <w:shd w:val="clear" w:color="auto" w:fill="FFFFFF"/>
            <w:vAlign w:val="center"/>
          </w:tcPr>
          <w:p>
            <w:pPr>
              <w:widowControl/>
              <w:kinsoku w:val="0"/>
              <w:autoSpaceDE w:val="0"/>
              <w:autoSpaceDN w:val="0"/>
              <w:adjustRightInd w:val="0"/>
              <w:snapToGrid w:val="0"/>
              <w:spacing w:line="240" w:lineRule="auto"/>
              <w:ind w:firstLine="0" w:firstLineChars="0"/>
              <w:jc w:val="center"/>
              <w:textAlignment w:val="center"/>
              <w:outlineLvl w:val="9"/>
              <w:rPr>
                <w:rFonts w:hint="default" w:ascii="宋体" w:hAnsi="宋体" w:eastAsia="Arial" w:cs="宋体"/>
                <w:b/>
                <w:snapToGrid w:val="0"/>
                <w:color w:val="000000"/>
                <w:kern w:val="0"/>
                <w:sz w:val="22"/>
                <w:szCs w:val="22"/>
                <w:highlight w:val="none"/>
                <w:lang w:val="en-US" w:eastAsia="zh-CN" w:bidi="ar"/>
              </w:rPr>
            </w:pPr>
            <w:r>
              <w:rPr>
                <w:rFonts w:hint="eastAsia" w:ascii="宋体" w:hAnsi="宋体" w:eastAsia="Arial" w:cs="宋体"/>
                <w:b/>
                <w:snapToGrid w:val="0"/>
                <w:color w:val="000000"/>
                <w:kern w:val="0"/>
                <w:sz w:val="22"/>
                <w:szCs w:val="22"/>
                <w:highlight w:val="none"/>
                <w:lang w:val="en-US" w:eastAsia="zh-CN" w:bidi="ar"/>
              </w:rPr>
              <w:t>厂家</w:t>
            </w:r>
          </w:p>
        </w:tc>
        <w:tc>
          <w:tcPr>
            <w:tcW w:w="1181" w:type="dxa"/>
            <w:tcBorders>
              <w:tl2br w:val="nil"/>
              <w:tr2bl w:val="nil"/>
            </w:tcBorders>
            <w:shd w:val="clear" w:color="auto" w:fill="FFFFFF"/>
            <w:vAlign w:val="center"/>
          </w:tcPr>
          <w:p>
            <w:pPr>
              <w:widowControl/>
              <w:kinsoku w:val="0"/>
              <w:autoSpaceDE w:val="0"/>
              <w:autoSpaceDN w:val="0"/>
              <w:adjustRightInd w:val="0"/>
              <w:snapToGrid w:val="0"/>
              <w:spacing w:line="240" w:lineRule="auto"/>
              <w:ind w:firstLine="0" w:firstLineChars="0"/>
              <w:jc w:val="center"/>
              <w:textAlignment w:val="center"/>
              <w:outlineLvl w:val="9"/>
              <w:rPr>
                <w:rFonts w:hint="eastAsia" w:ascii="宋体" w:hAnsi="宋体" w:eastAsia="Arial" w:cs="宋体"/>
                <w:b/>
                <w:snapToGrid w:val="0"/>
                <w:color w:val="000000"/>
                <w:kern w:val="0"/>
                <w:sz w:val="22"/>
                <w:szCs w:val="22"/>
                <w:highlight w:val="none"/>
                <w:lang w:val="en-US" w:eastAsia="zh-CN" w:bidi="ar"/>
              </w:rPr>
            </w:pPr>
            <w:r>
              <w:rPr>
                <w:rFonts w:hint="eastAsia" w:ascii="宋体" w:hAnsi="宋体" w:eastAsia="Arial" w:cs="宋体"/>
                <w:b/>
                <w:snapToGrid w:val="0"/>
                <w:color w:val="000000"/>
                <w:kern w:val="0"/>
                <w:sz w:val="22"/>
                <w:szCs w:val="22"/>
                <w:highlight w:val="none"/>
                <w:lang w:val="en-US" w:eastAsia="zh-CN" w:bidi="ar"/>
              </w:rPr>
              <w:t>含税单价</w:t>
            </w:r>
          </w:p>
          <w:p>
            <w:pPr>
              <w:widowControl/>
              <w:kinsoku w:val="0"/>
              <w:autoSpaceDE w:val="0"/>
              <w:autoSpaceDN w:val="0"/>
              <w:adjustRightInd w:val="0"/>
              <w:snapToGrid w:val="0"/>
              <w:spacing w:line="240" w:lineRule="auto"/>
              <w:ind w:firstLine="0" w:firstLineChars="0"/>
              <w:jc w:val="center"/>
              <w:textAlignment w:val="center"/>
              <w:outlineLvl w:val="9"/>
              <w:rPr>
                <w:rFonts w:hint="eastAsia" w:ascii="宋体" w:hAnsi="宋体" w:eastAsia="Arial" w:cs="宋体"/>
                <w:b/>
                <w:snapToGrid w:val="0"/>
                <w:color w:val="000000"/>
                <w:kern w:val="0"/>
                <w:sz w:val="22"/>
                <w:szCs w:val="22"/>
                <w:highlight w:val="none"/>
                <w:lang w:val="en-US" w:eastAsia="zh-CN" w:bidi="ar"/>
              </w:rPr>
            </w:pPr>
            <w:r>
              <w:rPr>
                <w:rFonts w:hint="eastAsia" w:ascii="宋体" w:hAnsi="宋体" w:eastAsia="Arial" w:cs="宋体"/>
                <w:b/>
                <w:snapToGrid w:val="0"/>
                <w:color w:val="000000"/>
                <w:kern w:val="0"/>
                <w:sz w:val="22"/>
                <w:szCs w:val="22"/>
                <w:highlight w:val="none"/>
                <w:lang w:val="en-US" w:eastAsia="zh-CN" w:bidi="ar"/>
              </w:rPr>
              <w:t>（元）</w:t>
            </w:r>
          </w:p>
        </w:tc>
        <w:tc>
          <w:tcPr>
            <w:tcW w:w="1022" w:type="dxa"/>
            <w:tcBorders>
              <w:tl2br w:val="nil"/>
              <w:tr2bl w:val="nil"/>
            </w:tcBorders>
            <w:shd w:val="clear" w:color="auto" w:fill="FFFFFF"/>
            <w:vAlign w:val="center"/>
          </w:tcPr>
          <w:p>
            <w:pPr>
              <w:widowControl/>
              <w:kinsoku w:val="0"/>
              <w:autoSpaceDE w:val="0"/>
              <w:autoSpaceDN w:val="0"/>
              <w:adjustRightInd w:val="0"/>
              <w:snapToGrid w:val="0"/>
              <w:spacing w:line="240" w:lineRule="auto"/>
              <w:ind w:firstLine="0" w:firstLineChars="0"/>
              <w:jc w:val="center"/>
              <w:textAlignment w:val="center"/>
              <w:outlineLvl w:val="9"/>
              <w:rPr>
                <w:rFonts w:hint="eastAsia" w:ascii="宋体" w:hAnsi="宋体" w:eastAsia="Arial" w:cs="宋体"/>
                <w:b/>
                <w:snapToGrid w:val="0"/>
                <w:color w:val="000000"/>
                <w:kern w:val="0"/>
                <w:sz w:val="22"/>
                <w:szCs w:val="22"/>
                <w:highlight w:val="none"/>
                <w:lang w:eastAsia="zh-CN" w:bidi="ar"/>
              </w:rPr>
            </w:pPr>
            <w:r>
              <w:rPr>
                <w:rFonts w:hint="eastAsia" w:ascii="宋体" w:hAnsi="宋体" w:eastAsia="Arial" w:cs="宋体"/>
                <w:b/>
                <w:snapToGrid w:val="0"/>
                <w:color w:val="000000"/>
                <w:kern w:val="0"/>
                <w:sz w:val="22"/>
                <w:szCs w:val="22"/>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970" w:type="dxa"/>
            <w:tcBorders>
              <w:tl2br w:val="nil"/>
              <w:tr2bl w:val="nil"/>
            </w:tcBorders>
            <w:shd w:val="clear" w:color="auto" w:fill="FFFFFF"/>
            <w:vAlign w:val="center"/>
          </w:tcPr>
          <w:p>
            <w:pPr>
              <w:widowControl/>
              <w:kinsoku w:val="0"/>
              <w:autoSpaceDE w:val="0"/>
              <w:autoSpaceDN w:val="0"/>
              <w:adjustRightInd w:val="0"/>
              <w:snapToGrid w:val="0"/>
              <w:spacing w:line="240" w:lineRule="auto"/>
              <w:ind w:firstLine="0" w:firstLineChars="0"/>
              <w:jc w:val="center"/>
              <w:textAlignment w:val="center"/>
              <w:outlineLvl w:val="9"/>
              <w:rPr>
                <w:rFonts w:hint="eastAsia" w:cs="宋体" w:asciiTheme="minorEastAsia" w:hAnsiTheme="minorEastAsia" w:eastAsiaTheme="minorEastAsia"/>
                <w:snapToGrid w:val="0"/>
                <w:color w:val="000000"/>
                <w:kern w:val="0"/>
                <w:sz w:val="21"/>
                <w:szCs w:val="21"/>
                <w:highlight w:val="none"/>
                <w:lang w:val="en-US" w:eastAsia="zh-CN" w:bidi="ar"/>
              </w:rPr>
            </w:pPr>
            <w:r>
              <w:rPr>
                <w:rFonts w:hint="eastAsia" w:cs="宋体" w:asciiTheme="minorEastAsia" w:hAnsiTheme="minorEastAsia" w:eastAsiaTheme="minorEastAsia"/>
                <w:snapToGrid w:val="0"/>
                <w:color w:val="000000"/>
                <w:kern w:val="0"/>
                <w:sz w:val="21"/>
                <w:szCs w:val="21"/>
                <w:highlight w:val="none"/>
                <w:lang w:val="en-US" w:eastAsia="zh-CN" w:bidi="ar"/>
              </w:rPr>
              <w:t>1</w:t>
            </w:r>
          </w:p>
        </w:tc>
        <w:tc>
          <w:tcPr>
            <w:tcW w:w="1813" w:type="dxa"/>
            <w:tcBorders>
              <w:tl2br w:val="nil"/>
              <w:tr2bl w:val="nil"/>
            </w:tcBorders>
            <w:shd w:val="clear" w:color="auto" w:fill="FFFFFF"/>
            <w:vAlign w:val="center"/>
          </w:tcPr>
          <w:p>
            <w:pPr>
              <w:widowControl/>
              <w:jc w:val="center"/>
              <w:textAlignment w:val="center"/>
              <w:outlineLvl w:val="9"/>
              <w:rPr>
                <w:rFonts w:hint="default" w:ascii="宋体" w:hAnsi="宋体" w:eastAsia="宋体" w:cs="宋体"/>
                <w:color w:val="000000"/>
                <w:kern w:val="0"/>
                <w:sz w:val="22"/>
                <w:szCs w:val="22"/>
                <w:highlight w:val="none"/>
                <w:lang w:val="en-US" w:eastAsia="zh-CN" w:bidi="ar"/>
              </w:rPr>
            </w:pPr>
          </w:p>
        </w:tc>
        <w:tc>
          <w:tcPr>
            <w:tcW w:w="1337" w:type="dxa"/>
            <w:tcBorders>
              <w:tl2br w:val="nil"/>
              <w:tr2bl w:val="nil"/>
            </w:tcBorders>
            <w:shd w:val="clear" w:color="auto" w:fill="FFFFFF"/>
            <w:vAlign w:val="center"/>
          </w:tcPr>
          <w:p>
            <w:pPr>
              <w:widowControl/>
              <w:jc w:val="center"/>
              <w:textAlignment w:val="center"/>
              <w:outlineLvl w:val="9"/>
              <w:rPr>
                <w:rFonts w:hint="eastAsia" w:ascii="宋体" w:hAnsi="宋体" w:eastAsia="宋体" w:cs="宋体"/>
                <w:color w:val="000000"/>
                <w:kern w:val="0"/>
                <w:sz w:val="22"/>
                <w:szCs w:val="22"/>
                <w:highlight w:val="none"/>
                <w:lang w:val="en-US" w:eastAsia="zh-CN" w:bidi="ar"/>
              </w:rPr>
            </w:pPr>
          </w:p>
        </w:tc>
        <w:tc>
          <w:tcPr>
            <w:tcW w:w="1352" w:type="dxa"/>
            <w:tcBorders>
              <w:tl2br w:val="nil"/>
              <w:tr2bl w:val="nil"/>
            </w:tcBorders>
            <w:shd w:val="clear" w:color="auto" w:fill="FFFFFF"/>
            <w:vAlign w:val="center"/>
          </w:tcPr>
          <w:p>
            <w:pPr>
              <w:keepNext w:val="0"/>
              <w:keepLines w:val="0"/>
              <w:widowControl/>
              <w:suppressLineNumbers w:val="0"/>
              <w:jc w:val="center"/>
              <w:textAlignment w:val="center"/>
              <w:outlineLvl w:val="9"/>
              <w:rPr>
                <w:rFonts w:hint="default" w:cs="宋体" w:asciiTheme="minorEastAsia" w:hAnsiTheme="minorEastAsia" w:eastAsiaTheme="minorEastAsia"/>
                <w:color w:val="000000"/>
                <w:szCs w:val="21"/>
                <w:highlight w:val="none"/>
                <w:lang w:val="en-US" w:eastAsia="zh-CN"/>
              </w:rPr>
            </w:pPr>
          </w:p>
        </w:tc>
        <w:tc>
          <w:tcPr>
            <w:tcW w:w="1027" w:type="dxa"/>
            <w:tcBorders>
              <w:tl2br w:val="nil"/>
              <w:tr2bl w:val="nil"/>
            </w:tcBorders>
            <w:shd w:val="clear" w:color="auto" w:fill="FFFFFF"/>
            <w:vAlign w:val="center"/>
          </w:tcPr>
          <w:p>
            <w:pPr>
              <w:widowControl/>
              <w:ind w:firstLine="320" w:firstLineChars="100"/>
              <w:jc w:val="both"/>
              <w:textAlignment w:val="center"/>
              <w:outlineLvl w:val="9"/>
              <w:rPr>
                <w:rFonts w:hint="default" w:cs="宋体" w:asciiTheme="minorEastAsia" w:hAnsiTheme="minorEastAsia" w:eastAsiaTheme="minorEastAsia"/>
                <w:color w:val="000000"/>
                <w:szCs w:val="21"/>
                <w:highlight w:val="none"/>
                <w:lang w:val="en-US" w:eastAsia="zh-CN"/>
              </w:rPr>
            </w:pPr>
          </w:p>
        </w:tc>
        <w:tc>
          <w:tcPr>
            <w:tcW w:w="1181" w:type="dxa"/>
            <w:tcBorders>
              <w:tl2br w:val="nil"/>
              <w:tr2bl w:val="nil"/>
            </w:tcBorders>
            <w:shd w:val="clear" w:color="auto" w:fill="FFFFFF"/>
            <w:vAlign w:val="center"/>
          </w:tcPr>
          <w:p>
            <w:pPr>
              <w:keepNext w:val="0"/>
              <w:keepLines w:val="0"/>
              <w:widowControl/>
              <w:suppressLineNumbers w:val="0"/>
              <w:jc w:val="center"/>
              <w:textAlignment w:val="center"/>
              <w:outlineLvl w:val="9"/>
              <w:rPr>
                <w:rFonts w:hint="default" w:cs="宋体" w:asciiTheme="minorEastAsia" w:hAnsiTheme="minorEastAsia" w:eastAsiaTheme="minorEastAsia"/>
                <w:color w:val="000000"/>
                <w:szCs w:val="21"/>
                <w:highlight w:val="none"/>
                <w:lang w:val="en-US" w:eastAsia="zh-CN"/>
              </w:rPr>
            </w:pPr>
          </w:p>
        </w:tc>
        <w:tc>
          <w:tcPr>
            <w:tcW w:w="1022" w:type="dxa"/>
            <w:tcBorders>
              <w:tl2br w:val="nil"/>
              <w:tr2bl w:val="nil"/>
            </w:tcBorders>
            <w:shd w:val="clear" w:color="auto" w:fill="FFFFFF"/>
            <w:vAlign w:val="center"/>
          </w:tcPr>
          <w:p>
            <w:pPr>
              <w:keepNext w:val="0"/>
              <w:keepLines w:val="0"/>
              <w:widowControl/>
              <w:suppressLineNumbers w:val="0"/>
              <w:jc w:val="center"/>
              <w:textAlignment w:val="center"/>
              <w:outlineLvl w:val="9"/>
              <w:rPr>
                <w:rFonts w:hint="default" w:cs="宋体" w:asciiTheme="minorEastAsia" w:hAnsiTheme="minorEastAsia" w:eastAsiaTheme="minorEastAsia"/>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970" w:type="dxa"/>
            <w:tcBorders>
              <w:tl2br w:val="nil"/>
              <w:tr2bl w:val="nil"/>
            </w:tcBorders>
            <w:shd w:val="clear" w:color="auto" w:fill="FFFFFF"/>
            <w:vAlign w:val="center"/>
          </w:tcPr>
          <w:p>
            <w:pPr>
              <w:widowControl/>
              <w:kinsoku w:val="0"/>
              <w:autoSpaceDE w:val="0"/>
              <w:autoSpaceDN w:val="0"/>
              <w:adjustRightInd w:val="0"/>
              <w:snapToGrid w:val="0"/>
              <w:spacing w:line="240" w:lineRule="auto"/>
              <w:ind w:firstLine="0" w:firstLineChars="0"/>
              <w:jc w:val="center"/>
              <w:textAlignment w:val="center"/>
              <w:outlineLvl w:val="9"/>
              <w:rPr>
                <w:rFonts w:hint="eastAsia" w:cs="宋体" w:asciiTheme="minorEastAsia" w:hAnsiTheme="minorEastAsia" w:eastAsiaTheme="minorEastAsia"/>
                <w:snapToGrid w:val="0"/>
                <w:color w:val="000000"/>
                <w:kern w:val="0"/>
                <w:sz w:val="21"/>
                <w:szCs w:val="21"/>
                <w:highlight w:val="none"/>
                <w:lang w:val="en-US" w:eastAsia="zh-CN" w:bidi="ar"/>
              </w:rPr>
            </w:pPr>
            <w:r>
              <w:rPr>
                <w:rFonts w:hint="eastAsia" w:cs="宋体" w:asciiTheme="minorEastAsia" w:hAnsiTheme="minorEastAsia" w:eastAsiaTheme="minorEastAsia"/>
                <w:snapToGrid w:val="0"/>
                <w:color w:val="000000"/>
                <w:kern w:val="0"/>
                <w:sz w:val="21"/>
                <w:szCs w:val="21"/>
                <w:highlight w:val="none"/>
                <w:lang w:val="en-US" w:eastAsia="zh-CN" w:bidi="ar"/>
              </w:rPr>
              <w:t>2</w:t>
            </w:r>
          </w:p>
        </w:tc>
        <w:tc>
          <w:tcPr>
            <w:tcW w:w="1813" w:type="dxa"/>
            <w:tcBorders>
              <w:tl2br w:val="nil"/>
              <w:tr2bl w:val="nil"/>
            </w:tcBorders>
            <w:shd w:val="clear" w:color="auto" w:fill="FFFFFF"/>
            <w:vAlign w:val="center"/>
          </w:tcPr>
          <w:p>
            <w:pPr>
              <w:widowControl/>
              <w:jc w:val="center"/>
              <w:textAlignment w:val="center"/>
              <w:outlineLvl w:val="9"/>
              <w:rPr>
                <w:rFonts w:hint="eastAsia" w:ascii="宋体" w:hAnsi="宋体" w:cs="宋体"/>
                <w:color w:val="000000"/>
                <w:kern w:val="0"/>
                <w:sz w:val="22"/>
                <w:szCs w:val="22"/>
                <w:highlight w:val="none"/>
                <w:lang w:bidi="ar"/>
              </w:rPr>
            </w:pPr>
          </w:p>
        </w:tc>
        <w:tc>
          <w:tcPr>
            <w:tcW w:w="1337" w:type="dxa"/>
            <w:tcBorders>
              <w:tl2br w:val="nil"/>
              <w:tr2bl w:val="nil"/>
            </w:tcBorders>
            <w:shd w:val="clear" w:color="auto" w:fill="FFFFFF"/>
            <w:vAlign w:val="center"/>
          </w:tcPr>
          <w:p>
            <w:pPr>
              <w:widowControl/>
              <w:jc w:val="center"/>
              <w:textAlignment w:val="center"/>
              <w:outlineLvl w:val="9"/>
              <w:rPr>
                <w:rFonts w:hint="eastAsia" w:ascii="宋体" w:hAnsi="宋体" w:eastAsia="宋体" w:cs="宋体"/>
                <w:color w:val="000000"/>
                <w:kern w:val="0"/>
                <w:sz w:val="22"/>
                <w:szCs w:val="22"/>
                <w:highlight w:val="none"/>
                <w:lang w:val="en-US" w:eastAsia="zh-CN" w:bidi="ar"/>
              </w:rPr>
            </w:pPr>
          </w:p>
        </w:tc>
        <w:tc>
          <w:tcPr>
            <w:tcW w:w="1352" w:type="dxa"/>
            <w:tcBorders>
              <w:tl2br w:val="nil"/>
              <w:tr2bl w:val="nil"/>
            </w:tcBorders>
            <w:shd w:val="clear" w:color="auto" w:fill="FFFFFF"/>
            <w:vAlign w:val="center"/>
          </w:tcPr>
          <w:p>
            <w:pPr>
              <w:keepNext w:val="0"/>
              <w:keepLines w:val="0"/>
              <w:widowControl/>
              <w:suppressLineNumbers w:val="0"/>
              <w:jc w:val="center"/>
              <w:textAlignment w:val="center"/>
              <w:outlineLvl w:val="9"/>
              <w:rPr>
                <w:rFonts w:hint="default" w:cs="宋体" w:asciiTheme="minorEastAsia" w:hAnsiTheme="minorEastAsia" w:eastAsiaTheme="minorEastAsia"/>
                <w:color w:val="000000"/>
                <w:szCs w:val="21"/>
                <w:highlight w:val="none"/>
                <w:lang w:val="en-US" w:eastAsia="zh-CN"/>
              </w:rPr>
            </w:pPr>
          </w:p>
        </w:tc>
        <w:tc>
          <w:tcPr>
            <w:tcW w:w="1027" w:type="dxa"/>
            <w:tcBorders>
              <w:tl2br w:val="nil"/>
              <w:tr2bl w:val="nil"/>
            </w:tcBorders>
            <w:shd w:val="clear" w:color="auto" w:fill="FFFFFF"/>
            <w:vAlign w:val="center"/>
          </w:tcPr>
          <w:p>
            <w:pPr>
              <w:widowControl/>
              <w:jc w:val="center"/>
              <w:textAlignment w:val="center"/>
              <w:outlineLvl w:val="9"/>
              <w:rPr>
                <w:rFonts w:hint="default" w:cs="宋体" w:asciiTheme="minorEastAsia" w:hAnsiTheme="minorEastAsia" w:eastAsiaTheme="minorEastAsia"/>
                <w:color w:val="000000"/>
                <w:szCs w:val="21"/>
                <w:highlight w:val="none"/>
                <w:lang w:val="en-US" w:eastAsia="zh-CN"/>
              </w:rPr>
            </w:pPr>
          </w:p>
        </w:tc>
        <w:tc>
          <w:tcPr>
            <w:tcW w:w="1181" w:type="dxa"/>
            <w:tcBorders>
              <w:tl2br w:val="nil"/>
              <w:tr2bl w:val="nil"/>
            </w:tcBorders>
            <w:shd w:val="clear" w:color="auto" w:fill="FFFFFF"/>
            <w:vAlign w:val="center"/>
          </w:tcPr>
          <w:p>
            <w:pPr>
              <w:keepNext w:val="0"/>
              <w:keepLines w:val="0"/>
              <w:widowControl/>
              <w:suppressLineNumbers w:val="0"/>
              <w:jc w:val="center"/>
              <w:textAlignment w:val="center"/>
              <w:outlineLvl w:val="9"/>
              <w:rPr>
                <w:rFonts w:hint="default" w:cs="宋体" w:asciiTheme="minorEastAsia" w:hAnsiTheme="minorEastAsia" w:eastAsiaTheme="minorEastAsia"/>
                <w:color w:val="000000"/>
                <w:szCs w:val="21"/>
                <w:highlight w:val="none"/>
                <w:lang w:val="en-US" w:eastAsia="zh-CN"/>
              </w:rPr>
            </w:pPr>
          </w:p>
        </w:tc>
        <w:tc>
          <w:tcPr>
            <w:tcW w:w="1022" w:type="dxa"/>
            <w:tcBorders>
              <w:tl2br w:val="nil"/>
              <w:tr2bl w:val="nil"/>
            </w:tcBorders>
            <w:shd w:val="clear" w:color="auto" w:fill="FFFFFF"/>
            <w:vAlign w:val="center"/>
          </w:tcPr>
          <w:p>
            <w:pPr>
              <w:keepNext w:val="0"/>
              <w:keepLines w:val="0"/>
              <w:widowControl/>
              <w:suppressLineNumbers w:val="0"/>
              <w:jc w:val="center"/>
              <w:textAlignment w:val="center"/>
              <w:outlineLvl w:val="9"/>
              <w:rPr>
                <w:rFonts w:hint="default" w:cs="宋体" w:asciiTheme="minorEastAsia" w:hAnsiTheme="minorEastAsia" w:eastAsiaTheme="minorEastAsia"/>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970" w:type="dxa"/>
            <w:tcBorders>
              <w:tl2br w:val="nil"/>
              <w:tr2bl w:val="nil"/>
            </w:tcBorders>
            <w:shd w:val="clear" w:color="auto" w:fill="FFFFFF"/>
            <w:vAlign w:val="center"/>
          </w:tcPr>
          <w:p>
            <w:pPr>
              <w:widowControl/>
              <w:kinsoku w:val="0"/>
              <w:autoSpaceDE w:val="0"/>
              <w:autoSpaceDN w:val="0"/>
              <w:adjustRightInd w:val="0"/>
              <w:snapToGrid w:val="0"/>
              <w:spacing w:line="240" w:lineRule="auto"/>
              <w:ind w:firstLine="0" w:firstLineChars="0"/>
              <w:jc w:val="center"/>
              <w:textAlignment w:val="center"/>
              <w:outlineLvl w:val="9"/>
              <w:rPr>
                <w:rFonts w:hint="default" w:cs="宋体" w:asciiTheme="minorEastAsia" w:hAnsiTheme="minorEastAsia" w:eastAsiaTheme="minorEastAsia"/>
                <w:snapToGrid w:val="0"/>
                <w:color w:val="000000"/>
                <w:kern w:val="0"/>
                <w:sz w:val="21"/>
                <w:szCs w:val="21"/>
                <w:highlight w:val="none"/>
                <w:lang w:val="en-US" w:eastAsia="zh-CN" w:bidi="ar"/>
              </w:rPr>
            </w:pPr>
            <w:r>
              <w:rPr>
                <w:rFonts w:hint="eastAsia" w:cs="宋体" w:asciiTheme="minorEastAsia" w:hAnsiTheme="minorEastAsia" w:eastAsiaTheme="minorEastAsia"/>
                <w:snapToGrid w:val="0"/>
                <w:color w:val="000000"/>
                <w:kern w:val="0"/>
                <w:sz w:val="21"/>
                <w:szCs w:val="21"/>
                <w:highlight w:val="none"/>
                <w:lang w:val="en-US" w:eastAsia="zh-CN" w:bidi="ar"/>
              </w:rPr>
              <w:t>3</w:t>
            </w:r>
          </w:p>
        </w:tc>
        <w:tc>
          <w:tcPr>
            <w:tcW w:w="1813" w:type="dxa"/>
            <w:tcBorders>
              <w:tl2br w:val="nil"/>
              <w:tr2bl w:val="nil"/>
            </w:tcBorders>
            <w:shd w:val="clear" w:color="auto" w:fill="FFFFFF"/>
            <w:vAlign w:val="center"/>
          </w:tcPr>
          <w:p>
            <w:pPr>
              <w:widowControl/>
              <w:jc w:val="center"/>
              <w:textAlignment w:val="center"/>
              <w:outlineLvl w:val="9"/>
              <w:rPr>
                <w:rFonts w:hint="eastAsia" w:eastAsia="宋体" w:cs="宋体" w:asciiTheme="minorEastAsia" w:hAnsiTheme="minorEastAsia"/>
                <w:color w:val="000000"/>
                <w:kern w:val="0"/>
                <w:sz w:val="21"/>
                <w:szCs w:val="21"/>
                <w:highlight w:val="none"/>
                <w:lang w:val="en-US" w:eastAsia="zh-CN" w:bidi="ar"/>
              </w:rPr>
            </w:pPr>
          </w:p>
        </w:tc>
        <w:tc>
          <w:tcPr>
            <w:tcW w:w="1337" w:type="dxa"/>
            <w:tcBorders>
              <w:tl2br w:val="nil"/>
              <w:tr2bl w:val="nil"/>
            </w:tcBorders>
            <w:shd w:val="clear" w:color="auto" w:fill="FFFFFF"/>
            <w:vAlign w:val="center"/>
          </w:tcPr>
          <w:p>
            <w:pPr>
              <w:widowControl/>
              <w:jc w:val="center"/>
              <w:textAlignment w:val="center"/>
              <w:outlineLvl w:val="9"/>
              <w:rPr>
                <w:rFonts w:hint="default" w:ascii="宋体" w:hAnsi="宋体" w:eastAsia="宋体" w:cs="宋体"/>
                <w:color w:val="000000"/>
                <w:kern w:val="0"/>
                <w:sz w:val="22"/>
                <w:szCs w:val="22"/>
                <w:highlight w:val="none"/>
                <w:lang w:val="en-US" w:eastAsia="zh-CN" w:bidi="ar"/>
              </w:rPr>
            </w:pPr>
          </w:p>
        </w:tc>
        <w:tc>
          <w:tcPr>
            <w:tcW w:w="1352" w:type="dxa"/>
            <w:tcBorders>
              <w:tl2br w:val="nil"/>
              <w:tr2bl w:val="nil"/>
            </w:tcBorders>
            <w:shd w:val="clear" w:color="auto" w:fill="FFFFFF"/>
            <w:vAlign w:val="center"/>
          </w:tcPr>
          <w:p>
            <w:pPr>
              <w:keepNext w:val="0"/>
              <w:keepLines w:val="0"/>
              <w:widowControl/>
              <w:suppressLineNumbers w:val="0"/>
              <w:jc w:val="center"/>
              <w:textAlignment w:val="center"/>
              <w:outlineLvl w:val="9"/>
              <w:rPr>
                <w:rFonts w:hint="default" w:cs="宋体" w:asciiTheme="minorEastAsia" w:hAnsiTheme="minorEastAsia" w:eastAsiaTheme="minorEastAsia"/>
                <w:color w:val="000000"/>
                <w:szCs w:val="21"/>
                <w:highlight w:val="none"/>
                <w:lang w:val="en-US" w:eastAsia="zh-CN"/>
              </w:rPr>
            </w:pPr>
          </w:p>
        </w:tc>
        <w:tc>
          <w:tcPr>
            <w:tcW w:w="1027" w:type="dxa"/>
            <w:tcBorders>
              <w:tl2br w:val="nil"/>
              <w:tr2bl w:val="nil"/>
            </w:tcBorders>
            <w:shd w:val="clear" w:color="auto" w:fill="FFFFFF"/>
            <w:vAlign w:val="center"/>
          </w:tcPr>
          <w:p>
            <w:pPr>
              <w:widowControl/>
              <w:ind w:firstLine="320" w:firstLineChars="100"/>
              <w:jc w:val="both"/>
              <w:textAlignment w:val="center"/>
              <w:outlineLvl w:val="9"/>
              <w:rPr>
                <w:rFonts w:hint="default" w:cs="宋体" w:asciiTheme="minorEastAsia" w:hAnsiTheme="minorEastAsia" w:eastAsiaTheme="minorEastAsia"/>
                <w:color w:val="000000"/>
                <w:szCs w:val="21"/>
                <w:highlight w:val="none"/>
                <w:lang w:val="en-US" w:eastAsia="zh-CN"/>
              </w:rPr>
            </w:pPr>
          </w:p>
        </w:tc>
        <w:tc>
          <w:tcPr>
            <w:tcW w:w="1181" w:type="dxa"/>
            <w:tcBorders>
              <w:tl2br w:val="nil"/>
              <w:tr2bl w:val="nil"/>
            </w:tcBorders>
            <w:shd w:val="clear" w:color="auto" w:fill="FFFFFF"/>
            <w:vAlign w:val="center"/>
          </w:tcPr>
          <w:p>
            <w:pPr>
              <w:keepNext w:val="0"/>
              <w:keepLines w:val="0"/>
              <w:widowControl/>
              <w:suppressLineNumbers w:val="0"/>
              <w:jc w:val="center"/>
              <w:textAlignment w:val="center"/>
              <w:outlineLvl w:val="9"/>
              <w:rPr>
                <w:rFonts w:hint="default" w:cs="宋体" w:asciiTheme="minorEastAsia" w:hAnsiTheme="minorEastAsia" w:eastAsiaTheme="minorEastAsia"/>
                <w:color w:val="000000"/>
                <w:szCs w:val="21"/>
                <w:highlight w:val="none"/>
                <w:lang w:val="en-US" w:eastAsia="zh-CN"/>
              </w:rPr>
            </w:pPr>
          </w:p>
        </w:tc>
        <w:tc>
          <w:tcPr>
            <w:tcW w:w="1022" w:type="dxa"/>
            <w:tcBorders>
              <w:tl2br w:val="nil"/>
              <w:tr2bl w:val="nil"/>
            </w:tcBorders>
            <w:shd w:val="clear" w:color="auto" w:fill="FFFFFF"/>
            <w:vAlign w:val="center"/>
          </w:tcPr>
          <w:p>
            <w:pPr>
              <w:keepNext w:val="0"/>
              <w:keepLines w:val="0"/>
              <w:widowControl/>
              <w:suppressLineNumbers w:val="0"/>
              <w:jc w:val="center"/>
              <w:textAlignment w:val="center"/>
              <w:outlineLvl w:val="9"/>
              <w:rPr>
                <w:rFonts w:hint="default" w:cs="宋体" w:asciiTheme="minorEastAsia" w:hAnsiTheme="minorEastAsia" w:eastAsiaTheme="minorEastAsia"/>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jc w:val="center"/>
        </w:trPr>
        <w:tc>
          <w:tcPr>
            <w:tcW w:w="970" w:type="dxa"/>
            <w:tcBorders>
              <w:tl2br w:val="nil"/>
              <w:tr2bl w:val="nil"/>
            </w:tcBorders>
            <w:shd w:val="clear" w:color="auto" w:fill="FFFFFF"/>
            <w:vAlign w:val="center"/>
          </w:tcPr>
          <w:p>
            <w:pPr>
              <w:widowControl/>
              <w:kinsoku w:val="0"/>
              <w:autoSpaceDE w:val="0"/>
              <w:autoSpaceDN w:val="0"/>
              <w:adjustRightInd w:val="0"/>
              <w:snapToGrid w:val="0"/>
              <w:spacing w:line="240" w:lineRule="auto"/>
              <w:ind w:firstLine="0" w:firstLineChars="0"/>
              <w:jc w:val="center"/>
              <w:textAlignment w:val="center"/>
              <w:outlineLvl w:val="9"/>
              <w:rPr>
                <w:rFonts w:hint="eastAsia" w:cs="宋体" w:asciiTheme="minorEastAsia" w:hAnsiTheme="minorEastAsia" w:eastAsiaTheme="minorEastAsia"/>
                <w:snapToGrid w:val="0"/>
                <w:color w:val="000000"/>
                <w:kern w:val="0"/>
                <w:sz w:val="21"/>
                <w:szCs w:val="21"/>
                <w:highlight w:val="none"/>
                <w:lang w:val="en-US" w:eastAsia="zh-CN" w:bidi="ar"/>
              </w:rPr>
            </w:pPr>
            <w:r>
              <w:rPr>
                <w:rFonts w:hint="eastAsia" w:cs="宋体" w:asciiTheme="minorEastAsia" w:hAnsiTheme="minorEastAsia" w:eastAsiaTheme="minorEastAsia"/>
                <w:snapToGrid w:val="0"/>
                <w:color w:val="000000"/>
                <w:kern w:val="0"/>
                <w:sz w:val="21"/>
                <w:szCs w:val="21"/>
                <w:highlight w:val="none"/>
                <w:lang w:val="en-US" w:eastAsia="zh-CN" w:bidi="ar"/>
              </w:rPr>
              <w:t>合计</w:t>
            </w:r>
          </w:p>
        </w:tc>
        <w:tc>
          <w:tcPr>
            <w:tcW w:w="1813" w:type="dxa"/>
            <w:tcBorders>
              <w:tl2br w:val="nil"/>
              <w:tr2bl w:val="nil"/>
            </w:tcBorders>
            <w:shd w:val="clear" w:color="auto" w:fill="FFFFFF"/>
            <w:vAlign w:val="center"/>
          </w:tcPr>
          <w:p>
            <w:pPr>
              <w:widowControl/>
              <w:jc w:val="center"/>
              <w:textAlignment w:val="center"/>
              <w:outlineLvl w:val="9"/>
              <w:rPr>
                <w:rFonts w:hint="eastAsia" w:ascii="宋体" w:hAnsi="宋体" w:cs="宋体"/>
                <w:color w:val="000000"/>
                <w:kern w:val="0"/>
                <w:sz w:val="22"/>
                <w:szCs w:val="22"/>
                <w:highlight w:val="none"/>
                <w:lang w:bidi="ar"/>
              </w:rPr>
            </w:pPr>
          </w:p>
        </w:tc>
        <w:tc>
          <w:tcPr>
            <w:tcW w:w="1337" w:type="dxa"/>
            <w:tcBorders>
              <w:tl2br w:val="nil"/>
              <w:tr2bl w:val="nil"/>
            </w:tcBorders>
            <w:shd w:val="clear" w:color="auto" w:fill="FFFFFF"/>
            <w:vAlign w:val="center"/>
          </w:tcPr>
          <w:p>
            <w:pPr>
              <w:widowControl/>
              <w:jc w:val="center"/>
              <w:textAlignment w:val="center"/>
              <w:outlineLvl w:val="9"/>
              <w:rPr>
                <w:rFonts w:hint="eastAsia" w:ascii="宋体" w:hAnsi="宋体" w:cs="宋体"/>
                <w:color w:val="000000"/>
                <w:kern w:val="0"/>
                <w:sz w:val="22"/>
                <w:szCs w:val="22"/>
                <w:highlight w:val="none"/>
                <w:lang w:bidi="ar"/>
              </w:rPr>
            </w:pPr>
          </w:p>
        </w:tc>
        <w:tc>
          <w:tcPr>
            <w:tcW w:w="1352" w:type="dxa"/>
            <w:tcBorders>
              <w:tl2br w:val="nil"/>
              <w:tr2bl w:val="nil"/>
            </w:tcBorders>
            <w:shd w:val="clear" w:color="auto" w:fill="FFFFFF"/>
            <w:vAlign w:val="center"/>
          </w:tcPr>
          <w:p>
            <w:pPr>
              <w:widowControl/>
              <w:jc w:val="center"/>
              <w:textAlignment w:val="center"/>
              <w:outlineLvl w:val="9"/>
              <w:rPr>
                <w:rFonts w:hint="default" w:ascii="宋体" w:hAnsi="宋体" w:eastAsia="宋体" w:cs="宋体"/>
                <w:color w:val="000000"/>
                <w:sz w:val="22"/>
                <w:szCs w:val="22"/>
                <w:highlight w:val="none"/>
                <w:lang w:val="en-US" w:eastAsia="zh-CN"/>
              </w:rPr>
            </w:pPr>
          </w:p>
        </w:tc>
        <w:tc>
          <w:tcPr>
            <w:tcW w:w="1027" w:type="dxa"/>
            <w:tcBorders>
              <w:tl2br w:val="nil"/>
              <w:tr2bl w:val="nil"/>
            </w:tcBorders>
            <w:shd w:val="clear" w:color="auto" w:fill="FFFFFF"/>
            <w:vAlign w:val="center"/>
          </w:tcPr>
          <w:p>
            <w:pPr>
              <w:jc w:val="center"/>
              <w:outlineLvl w:val="9"/>
              <w:rPr>
                <w:rFonts w:ascii="宋体" w:hAnsi="宋体" w:cs="宋体"/>
                <w:color w:val="000000"/>
                <w:sz w:val="20"/>
                <w:szCs w:val="20"/>
                <w:highlight w:val="none"/>
              </w:rPr>
            </w:pPr>
          </w:p>
        </w:tc>
        <w:tc>
          <w:tcPr>
            <w:tcW w:w="1181" w:type="dxa"/>
            <w:tcBorders>
              <w:tl2br w:val="nil"/>
              <w:tr2bl w:val="nil"/>
            </w:tcBorders>
            <w:shd w:val="clear" w:color="auto" w:fill="FFFFFF"/>
            <w:vAlign w:val="center"/>
          </w:tcPr>
          <w:p>
            <w:pPr>
              <w:widowControl/>
              <w:jc w:val="center"/>
              <w:textAlignment w:val="center"/>
              <w:outlineLvl w:val="9"/>
              <w:rPr>
                <w:rFonts w:ascii="宋体" w:hAnsi="宋体" w:cs="宋体"/>
                <w:color w:val="000000"/>
                <w:sz w:val="22"/>
                <w:szCs w:val="22"/>
                <w:highlight w:val="none"/>
              </w:rPr>
            </w:pPr>
          </w:p>
        </w:tc>
        <w:tc>
          <w:tcPr>
            <w:tcW w:w="1022" w:type="dxa"/>
            <w:tcBorders>
              <w:tl2br w:val="nil"/>
              <w:tr2bl w:val="nil"/>
            </w:tcBorders>
            <w:shd w:val="clear" w:color="auto" w:fill="FFFFFF"/>
            <w:vAlign w:val="center"/>
          </w:tcPr>
          <w:p>
            <w:pPr>
              <w:keepNext w:val="0"/>
              <w:keepLines w:val="0"/>
              <w:widowControl/>
              <w:suppressLineNumbers w:val="0"/>
              <w:jc w:val="center"/>
              <w:textAlignment w:val="center"/>
              <w:outlineLvl w:val="9"/>
              <w:rPr>
                <w:rFonts w:hint="default" w:ascii="宋体" w:hAnsi="宋体" w:eastAsia="宋体" w:cs="宋体"/>
                <w:i w:val="0"/>
                <w:color w:val="000000"/>
                <w:kern w:val="2"/>
                <w:sz w:val="22"/>
                <w:szCs w:val="22"/>
                <w:highlight w:val="none"/>
                <w:u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70" w:leftChars="0"/>
        <w:textAlignment w:val="auto"/>
        <w:outlineLvl w:val="9"/>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交货地点</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**市**区**路**项目现场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70" w:leftChars="0"/>
        <w:textAlignment w:val="auto"/>
        <w:outlineLvl w:val="9"/>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rPr>
        <w:t>交货时间：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4年*月*日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70" w:leftChars="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四、收货</w:t>
      </w:r>
      <w:r>
        <w:rPr>
          <w:rFonts w:hint="eastAsia" w:ascii="仿宋" w:hAnsi="仿宋" w:eastAsia="仿宋" w:cs="仿宋"/>
          <w:b/>
          <w:bCs/>
          <w:sz w:val="28"/>
          <w:szCs w:val="28"/>
          <w:highlight w:val="none"/>
        </w:rPr>
        <w:t>联系人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 xml:space="preserve">    联系电话：</w:t>
      </w:r>
      <w:r>
        <w:rPr>
          <w:rFonts w:hint="eastAsia"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280" w:firstLineChars="1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请贵司</w:t>
      </w:r>
      <w:r>
        <w:rPr>
          <w:rFonts w:hint="eastAsia" w:ascii="仿宋" w:hAnsi="仿宋" w:eastAsia="仿宋" w:cs="仿宋"/>
          <w:sz w:val="28"/>
          <w:szCs w:val="28"/>
          <w:highlight w:val="none"/>
          <w:lang w:val="en-US" w:eastAsia="zh-CN"/>
        </w:rPr>
        <w:t>盖章</w:t>
      </w:r>
      <w:r>
        <w:rPr>
          <w:rFonts w:hint="eastAsia" w:ascii="仿宋" w:hAnsi="仿宋" w:eastAsia="仿宋" w:cs="仿宋"/>
          <w:sz w:val="28"/>
          <w:szCs w:val="28"/>
          <w:highlight w:val="none"/>
        </w:rPr>
        <w:t>确认后及时回传我单位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扫描件具有同等效力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谢谢！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四川蜀物兴川物流发展有限公司</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********有限公司</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经办人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经办人</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80" w:firstLineChars="1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                     2024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日</w:t>
      </w:r>
    </w:p>
    <w:p>
      <w:pPr>
        <w:outlineLvl w:val="9"/>
        <w:rPr>
          <w:rFonts w:hint="eastAsia" w:ascii="仿宋" w:hAnsi="仿宋" w:eastAsia="仿宋" w:cs="仿宋"/>
          <w:b/>
          <w:bCs/>
          <w:spacing w:val="-7"/>
          <w:sz w:val="42"/>
          <w:szCs w:val="42"/>
          <w:highlight w:val="none"/>
        </w:rPr>
      </w:pPr>
      <w:r>
        <w:rPr>
          <w:rFonts w:hint="eastAsia" w:ascii="仿宋" w:hAnsi="仿宋" w:eastAsia="仿宋" w:cs="仿宋"/>
          <w:b/>
          <w:bCs/>
          <w:spacing w:val="-7"/>
          <w:sz w:val="42"/>
          <w:szCs w:val="42"/>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0" w:firstLineChars="0"/>
        <w:jc w:val="center"/>
        <w:textAlignment w:val="baseline"/>
        <w:outlineLvl w:val="9"/>
        <w:rPr>
          <w:rFonts w:hint="eastAsia" w:ascii="仿宋" w:hAnsi="仿宋" w:eastAsia="仿宋" w:cs="仿宋"/>
          <w:sz w:val="42"/>
          <w:szCs w:val="42"/>
          <w:highlight w:val="none"/>
        </w:rPr>
      </w:pPr>
      <w:r>
        <w:rPr>
          <w:rFonts w:hint="eastAsia" w:ascii="方正小标宋简体" w:hAnsi="方正小标宋简体" w:eastAsia="方正小标宋简体" w:cs="方正小标宋简体"/>
          <w:b w:val="0"/>
          <w:bCs w:val="0"/>
          <w:spacing w:val="-7"/>
          <w:sz w:val="42"/>
          <w:szCs w:val="42"/>
          <w:highlight w:val="none"/>
        </w:rPr>
        <w:t>采购廉洁合同</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textAlignment w:val="baseline"/>
        <w:outlineLvl w:val="9"/>
        <w:rPr>
          <w:rFonts w:hint="eastAsia" w:ascii="仿宋" w:hAnsi="仿宋" w:eastAsia="仿宋" w:cs="仿宋"/>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lang w:eastAsia="zh-CN"/>
        </w:rPr>
      </w:pPr>
      <w:r>
        <w:rPr>
          <w:rFonts w:hint="eastAsia" w:ascii="仿宋" w:hAnsi="仿宋" w:eastAsia="仿宋" w:cs="仿宋"/>
          <w:spacing w:val="14"/>
          <w:sz w:val="26"/>
          <w:szCs w:val="26"/>
          <w:highlight w:val="none"/>
        </w:rPr>
        <w:t>购方单位(甲方):</w:t>
      </w:r>
      <w:r>
        <w:rPr>
          <w:rFonts w:hint="eastAsia" w:ascii="仿宋" w:hAnsi="仿宋" w:eastAsia="仿宋" w:cs="仿宋"/>
          <w:spacing w:val="14"/>
          <w:sz w:val="26"/>
          <w:szCs w:val="26"/>
          <w:highlight w:val="none"/>
          <w:lang w:eastAsia="zh-CN"/>
        </w:rPr>
        <w:t>四川蜀物兴川物流发展有限公司</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lang w:eastAsia="zh-CN"/>
        </w:rPr>
        <w:t>乙方</w:t>
      </w:r>
      <w:r>
        <w:rPr>
          <w:rFonts w:hint="eastAsia" w:ascii="仿宋" w:hAnsi="仿宋" w:eastAsia="仿宋" w:cs="仿宋"/>
          <w:spacing w:val="14"/>
          <w:sz w:val="26"/>
          <w:szCs w:val="26"/>
          <w:highlight w:val="none"/>
        </w:rPr>
        <w:t>单位(乙方):</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根据党和国家有关廉洁建设的规定，为做好采购业务活动中的党风廉洁建设工作，保证资金的安全和有效使用，防止业务活动中的不廉行为发生，甲乙双方特订立如下合同。</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第一条  甲乙双方的权利和义务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一、严格遵守党的政策和国家有关法律法规，严格执行购销合同文件，自觉按合同办事。</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二、建立健全廉洁制度，开展廉洁教育，监督并认真查处违法违纪行为。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三、发现对方在业务活动中有违反廉洁规定的行为，有及时提醒对方纠正的权利和义务。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四、发现对方严重违反本合同义务条款的行为，有向其上级有关部门举报、建议给予处理并要求告知处理结果的权利。</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第二条</w:t>
      </w:r>
      <w:r>
        <w:rPr>
          <w:rFonts w:hint="eastAsia" w:ascii="仿宋" w:hAnsi="仿宋" w:eastAsia="仿宋" w:cs="仿宋"/>
          <w:spacing w:val="14"/>
          <w:sz w:val="26"/>
          <w:szCs w:val="26"/>
          <w:highlight w:val="none"/>
          <w:lang w:val="en-US" w:eastAsia="zh-CN"/>
        </w:rPr>
        <w:t xml:space="preserve"> </w:t>
      </w:r>
      <w:r>
        <w:rPr>
          <w:rFonts w:hint="eastAsia" w:ascii="仿宋" w:hAnsi="仿宋" w:eastAsia="仿宋" w:cs="仿宋"/>
          <w:spacing w:val="14"/>
          <w:sz w:val="26"/>
          <w:szCs w:val="26"/>
          <w:highlight w:val="none"/>
        </w:rPr>
        <w:t>甲方的义务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一、甲方工作人员要秉公办事，不准营私舞弊，不准利用职权从事各种个人有偿中介活动。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二、甲方工作人员不得索要或接受乙方的礼金、回扣、有价证券和贵重物品，不得在乙方报销任何应由甲方或个人支付的费用等。</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三、甲方工作人员不得参加乙方安排的超标准宴请和娱乐活动；不得接受乙方提供的通讯工具、交通工具和高档办公用品等。</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四、甲方工作人员不得要求或者接受乙方为其住房装修、婚丧嫁娶活动、配偶子女的工作安排以及出国、出境旅游等提</w:t>
      </w:r>
      <w:r>
        <w:rPr>
          <w:rFonts w:hint="eastAsia" w:ascii="仿宋" w:hAnsi="仿宋" w:eastAsia="仿宋" w:cs="仿宋"/>
          <w:spacing w:val="14"/>
          <w:sz w:val="26"/>
          <w:szCs w:val="26"/>
          <w:highlight w:val="none"/>
          <w:lang w:eastAsia="zh-CN"/>
        </w:rPr>
        <w:t>乙方</w:t>
      </w:r>
      <w:r>
        <w:rPr>
          <w:rFonts w:hint="eastAsia" w:ascii="仿宋" w:hAnsi="仿宋" w:eastAsia="仿宋" w:cs="仿宋"/>
          <w:spacing w:val="14"/>
          <w:sz w:val="26"/>
          <w:szCs w:val="26"/>
          <w:highlight w:val="none"/>
        </w:rPr>
        <w:t>便等。</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第三条</w:t>
      </w:r>
      <w:r>
        <w:rPr>
          <w:rFonts w:hint="eastAsia" w:ascii="仿宋" w:hAnsi="仿宋" w:eastAsia="仿宋" w:cs="仿宋"/>
          <w:spacing w:val="14"/>
          <w:sz w:val="26"/>
          <w:szCs w:val="26"/>
          <w:highlight w:val="none"/>
          <w:lang w:val="en-US" w:eastAsia="zh-CN"/>
        </w:rPr>
        <w:t xml:space="preserve"> </w:t>
      </w:r>
      <w:r>
        <w:rPr>
          <w:rFonts w:hint="eastAsia" w:ascii="仿宋" w:hAnsi="仿宋" w:eastAsia="仿宋" w:cs="仿宋"/>
          <w:spacing w:val="14"/>
          <w:sz w:val="26"/>
          <w:szCs w:val="26"/>
          <w:highlight w:val="none"/>
        </w:rPr>
        <w:t>乙方的义务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一、乙方不得以任何理由向甲方及其工作人员行贿或馈赠礼金、有价证券、贵重礼品；不得以任何名义为甲方及其工作人员报销应由甲方单位或个人支付的任何费用。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二、乙方不得以任何理由安排甲方工作人员参加超标准宴请及娱乐活动。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三、乙方不得为甲方单位和个人购置或提供通讯工具、交通工具和高档办公用品等。</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四、乙方不得为甲方工作人员住房装修、婚丧嫁娶活动、配偶子女的工作安排以及出国、出境旅游等提</w:t>
      </w:r>
      <w:r>
        <w:rPr>
          <w:rFonts w:hint="eastAsia" w:ascii="仿宋" w:hAnsi="仿宋" w:eastAsia="仿宋" w:cs="仿宋"/>
          <w:spacing w:val="14"/>
          <w:sz w:val="26"/>
          <w:szCs w:val="26"/>
          <w:highlight w:val="none"/>
          <w:lang w:eastAsia="zh-CN"/>
        </w:rPr>
        <w:t>乙方</w:t>
      </w:r>
      <w:r>
        <w:rPr>
          <w:rFonts w:hint="eastAsia" w:ascii="仿宋" w:hAnsi="仿宋" w:eastAsia="仿宋" w:cs="仿宋"/>
          <w:spacing w:val="14"/>
          <w:sz w:val="26"/>
          <w:szCs w:val="26"/>
          <w:highlight w:val="none"/>
        </w:rPr>
        <w:t>便等。</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第四条</w:t>
      </w:r>
      <w:r>
        <w:rPr>
          <w:rFonts w:hint="eastAsia" w:ascii="仿宋" w:hAnsi="仿宋" w:eastAsia="仿宋" w:cs="仿宋"/>
          <w:spacing w:val="14"/>
          <w:sz w:val="26"/>
          <w:szCs w:val="26"/>
          <w:highlight w:val="none"/>
          <w:lang w:val="en-US" w:eastAsia="zh-CN"/>
        </w:rPr>
        <w:t xml:space="preserve"> </w:t>
      </w:r>
      <w:r>
        <w:rPr>
          <w:rFonts w:hint="eastAsia" w:ascii="仿宋" w:hAnsi="仿宋" w:eastAsia="仿宋" w:cs="仿宋"/>
          <w:spacing w:val="14"/>
          <w:sz w:val="26"/>
          <w:szCs w:val="26"/>
          <w:highlight w:val="none"/>
        </w:rPr>
        <w:t>违约责任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一、甲方及其工作人员违反本合同第一、二条，按管理权限，依据有关规定给予党纪、政纪或组织处理；给乙方单位造成经济损失的，应给予赔偿。</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二、乙方及其工作人员违反本合同第一、三条，按管理权限，依据有关规定给予党纪、政纪或组织处理；给甲方单位造成经济损失的，应给予赔偿。</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第五条</w:t>
      </w:r>
      <w:r>
        <w:rPr>
          <w:rFonts w:hint="eastAsia" w:ascii="仿宋" w:hAnsi="仿宋" w:eastAsia="仿宋" w:cs="仿宋"/>
          <w:spacing w:val="14"/>
          <w:sz w:val="26"/>
          <w:szCs w:val="26"/>
          <w:highlight w:val="none"/>
          <w:lang w:val="en-US" w:eastAsia="zh-CN"/>
        </w:rPr>
        <w:t xml:space="preserve"> </w:t>
      </w:r>
      <w:r>
        <w:rPr>
          <w:rFonts w:hint="eastAsia" w:ascii="仿宋" w:hAnsi="仿宋" w:eastAsia="仿宋" w:cs="仿宋"/>
          <w:spacing w:val="14"/>
          <w:sz w:val="26"/>
          <w:szCs w:val="26"/>
          <w:highlight w:val="none"/>
        </w:rPr>
        <w:t>双方约定：本合同由双方上级单位的纪检监察机关负责监督执行。</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第六条</w:t>
      </w:r>
      <w:r>
        <w:rPr>
          <w:rFonts w:hint="eastAsia" w:ascii="仿宋" w:hAnsi="仿宋" w:eastAsia="仿宋" w:cs="仿宋"/>
          <w:spacing w:val="14"/>
          <w:sz w:val="26"/>
          <w:szCs w:val="26"/>
          <w:highlight w:val="none"/>
          <w:lang w:val="en-US" w:eastAsia="zh-CN"/>
        </w:rPr>
        <w:t xml:space="preserve"> </w:t>
      </w:r>
      <w:r>
        <w:rPr>
          <w:rFonts w:hint="eastAsia" w:ascii="仿宋" w:hAnsi="仿宋" w:eastAsia="仿宋" w:cs="仿宋"/>
          <w:spacing w:val="14"/>
          <w:sz w:val="26"/>
          <w:szCs w:val="26"/>
          <w:highlight w:val="none"/>
        </w:rPr>
        <w:t>本合同与物资购销合同同时签署，有效期为甲乙双方签署之日起至该购销合同执行完毕为止。</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第七条</w:t>
      </w:r>
      <w:r>
        <w:rPr>
          <w:rFonts w:hint="eastAsia" w:ascii="仿宋" w:hAnsi="仿宋" w:eastAsia="仿宋" w:cs="仿宋"/>
          <w:spacing w:val="14"/>
          <w:sz w:val="26"/>
          <w:szCs w:val="26"/>
          <w:highlight w:val="none"/>
          <w:lang w:val="en-US" w:eastAsia="zh-CN"/>
        </w:rPr>
        <w:t xml:space="preserve"> </w:t>
      </w:r>
      <w:r>
        <w:rPr>
          <w:rFonts w:hint="eastAsia" w:ascii="仿宋" w:hAnsi="仿宋" w:eastAsia="仿宋" w:cs="仿宋"/>
          <w:spacing w:val="14"/>
          <w:sz w:val="26"/>
          <w:szCs w:val="26"/>
          <w:highlight w:val="none"/>
        </w:rPr>
        <w:t>本合同作为物资购销合同的附件</w:t>
      </w:r>
      <w:r>
        <w:rPr>
          <w:rFonts w:hint="eastAsia" w:ascii="仿宋" w:hAnsi="仿宋" w:eastAsia="仿宋" w:cs="仿宋"/>
          <w:spacing w:val="14"/>
          <w:sz w:val="26"/>
          <w:szCs w:val="26"/>
          <w:highlight w:val="none"/>
          <w:lang w:eastAsia="zh-CN"/>
        </w:rPr>
        <w:t>，</w:t>
      </w:r>
      <w:r>
        <w:rPr>
          <w:rFonts w:hint="eastAsia" w:ascii="仿宋" w:hAnsi="仿宋" w:eastAsia="仿宋" w:cs="仿宋"/>
          <w:spacing w:val="14"/>
          <w:sz w:val="26"/>
          <w:szCs w:val="26"/>
          <w:highlight w:val="none"/>
        </w:rPr>
        <w:t>与物资购销合同具有同等的法律效力，经合同双方签署立即生效。</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第八条</w:t>
      </w:r>
      <w:r>
        <w:rPr>
          <w:rFonts w:hint="eastAsia" w:ascii="仿宋" w:hAnsi="仿宋" w:eastAsia="仿宋" w:cs="仿宋"/>
          <w:spacing w:val="14"/>
          <w:sz w:val="26"/>
          <w:szCs w:val="26"/>
          <w:highlight w:val="none"/>
          <w:lang w:val="en-US" w:eastAsia="zh-CN"/>
        </w:rPr>
        <w:t xml:space="preserve"> </w:t>
      </w:r>
      <w:r>
        <w:rPr>
          <w:rFonts w:hint="eastAsia" w:ascii="仿宋" w:hAnsi="仿宋" w:eastAsia="仿宋" w:cs="仿宋"/>
          <w:spacing w:val="14"/>
          <w:sz w:val="26"/>
          <w:szCs w:val="26"/>
          <w:highlight w:val="none"/>
        </w:rPr>
        <w:t>本合同一式肆份，由甲乙双方各执贰份。</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lang w:val="en-US" w:eastAsia="zh-CN"/>
        </w:rPr>
      </w:pPr>
      <w:r>
        <w:rPr>
          <w:rFonts w:hint="eastAsia" w:ascii="仿宋" w:hAnsi="仿宋" w:eastAsia="仿宋" w:cs="仿宋"/>
          <w:spacing w:val="14"/>
          <w:sz w:val="26"/>
          <w:szCs w:val="26"/>
          <w:highlight w:val="none"/>
          <w:lang w:val="en-US" w:eastAsia="zh-CN"/>
        </w:rPr>
        <w:t>甲</w:t>
      </w:r>
      <w:r>
        <w:rPr>
          <w:rFonts w:hint="eastAsia" w:ascii="仿宋" w:hAnsi="仿宋" w:eastAsia="仿宋" w:cs="仿宋"/>
          <w:spacing w:val="14"/>
          <w:sz w:val="26"/>
          <w:szCs w:val="26"/>
          <w:highlight w:val="none"/>
        </w:rPr>
        <w:t>方单位：(盖章)</w:t>
      </w:r>
      <w:r>
        <w:rPr>
          <w:rFonts w:hint="eastAsia" w:ascii="仿宋" w:hAnsi="仿宋" w:eastAsia="仿宋" w:cs="仿宋"/>
          <w:spacing w:val="14"/>
          <w:sz w:val="26"/>
          <w:szCs w:val="26"/>
          <w:highlight w:val="none"/>
          <w:lang w:val="en-US" w:eastAsia="zh-CN"/>
        </w:rPr>
        <w:t xml:space="preserve">                </w:t>
      </w:r>
      <w:r>
        <w:rPr>
          <w:rFonts w:hint="eastAsia" w:ascii="仿宋" w:hAnsi="仿宋" w:eastAsia="仿宋" w:cs="仿宋"/>
          <w:spacing w:val="14"/>
          <w:sz w:val="26"/>
          <w:szCs w:val="26"/>
          <w:highlight w:val="none"/>
        </w:rPr>
        <w:t>乙方单位：(盖章)</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lang w:val="en-US"/>
        </w:rPr>
      </w:pPr>
      <w:r>
        <w:rPr>
          <w:rFonts w:hint="eastAsia" w:ascii="仿宋" w:hAnsi="仿宋" w:eastAsia="仿宋" w:cs="仿宋"/>
          <w:spacing w:val="14"/>
          <w:sz w:val="26"/>
          <w:szCs w:val="26"/>
          <w:highlight w:val="none"/>
        </w:rPr>
        <w:t>法定代表人</w:t>
      </w:r>
      <w:r>
        <w:rPr>
          <w:rFonts w:hint="eastAsia" w:ascii="仿宋" w:hAnsi="仿宋" w:eastAsia="仿宋" w:cs="仿宋"/>
          <w:spacing w:val="14"/>
          <w:sz w:val="26"/>
          <w:szCs w:val="26"/>
          <w:highlight w:val="none"/>
          <w:lang w:val="en-US" w:eastAsia="zh-CN"/>
        </w:rPr>
        <w:t xml:space="preserve">                      </w:t>
      </w:r>
      <w:r>
        <w:rPr>
          <w:rFonts w:hint="eastAsia" w:ascii="仿宋" w:hAnsi="仿宋" w:eastAsia="仿宋" w:cs="仿宋"/>
          <w:spacing w:val="14"/>
          <w:sz w:val="26"/>
          <w:szCs w:val="26"/>
          <w:highlight w:val="none"/>
        </w:rPr>
        <w:t>法定代表人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 w:firstLineChars="2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或其授权的代理人：</w:t>
      </w:r>
      <w:r>
        <w:rPr>
          <w:rFonts w:hint="eastAsia" w:ascii="仿宋" w:hAnsi="仿宋" w:eastAsia="仿宋" w:cs="仿宋"/>
          <w:spacing w:val="14"/>
          <w:sz w:val="26"/>
          <w:szCs w:val="26"/>
          <w:highlight w:val="none"/>
          <w:lang w:val="en-US" w:eastAsia="zh-CN"/>
        </w:rPr>
        <w:t xml:space="preserve">              </w:t>
      </w:r>
      <w:r>
        <w:rPr>
          <w:rFonts w:hint="eastAsia" w:ascii="仿宋" w:hAnsi="仿宋" w:eastAsia="仿宋" w:cs="仿宋"/>
          <w:spacing w:val="14"/>
          <w:sz w:val="26"/>
          <w:szCs w:val="26"/>
          <w:highlight w:val="none"/>
        </w:rPr>
        <w:t>或其授权的代理人：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1440" w:firstLineChars="500"/>
        <w:jc w:val="both"/>
        <w:textAlignment w:val="baseline"/>
        <w:outlineLvl w:val="9"/>
        <w:rPr>
          <w:rFonts w:hint="eastAsia" w:ascii="仿宋" w:hAnsi="仿宋" w:eastAsia="仿宋" w:cs="仿宋"/>
          <w:spacing w:val="14"/>
          <w:sz w:val="26"/>
          <w:szCs w:val="26"/>
          <w:highlight w:val="none"/>
        </w:rPr>
      </w:pPr>
      <w:r>
        <w:rPr>
          <w:rFonts w:hint="eastAsia" w:ascii="仿宋" w:hAnsi="仿宋" w:eastAsia="仿宋" w:cs="仿宋"/>
          <w:spacing w:val="14"/>
          <w:sz w:val="26"/>
          <w:szCs w:val="26"/>
          <w:highlight w:val="none"/>
        </w:rPr>
        <w:t>年    月    日                   年   月    日</w:t>
      </w:r>
    </w:p>
    <w:p>
      <w:pPr>
        <w:ind w:left="0" w:leftChars="0" w:firstLine="0" w:firstLineChars="0"/>
        <w:outlineLvl w:val="9"/>
        <w:rPr>
          <w:rFonts w:hint="eastAsia" w:ascii="仿宋_GB2312" w:hAnsi="仿宋_GB2312" w:eastAsia="仿宋_GB2312" w:cs="仿宋_GB2312"/>
          <w:bCs/>
          <w:kern w:val="0"/>
          <w:sz w:val="24"/>
          <w:szCs w:val="24"/>
          <w:highlight w:val="none"/>
          <w:lang w:val="en-US" w:eastAsia="zh-CN"/>
        </w:rPr>
      </w:pPr>
    </w:p>
    <w:sectPr>
      <w:headerReference r:id="rId6" w:type="default"/>
      <w:footerReference r:id="rId7" w:type="default"/>
      <w:pgSz w:w="11905" w:h="16838"/>
      <w:pgMar w:top="1440" w:right="1083" w:bottom="1440" w:left="1083" w:header="850" w:footer="992" w:gutter="0"/>
      <w:pgBorders>
        <w:top w:val="none" w:sz="0" w:space="0"/>
        <w:left w:val="none" w:sz="0" w:space="0"/>
        <w:bottom w:val="none" w:sz="0" w:space="0"/>
        <w:right w:val="none" w:sz="0" w:space="0"/>
      </w:pgBorders>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8460295-38B7-49D9-BD40-20A3AD0536FD}"/>
  </w:font>
  <w:font w:name="黑体">
    <w:panose1 w:val="02010609060101010101"/>
    <w:charset w:val="86"/>
    <w:family w:val="auto"/>
    <w:pitch w:val="default"/>
    <w:sig w:usb0="800002BF" w:usb1="38CF7CFA" w:usb2="00000016" w:usb3="00000000" w:csb0="00040001" w:csb1="00000000"/>
    <w:embedRegular r:id="rId2" w:fontKey="{D7A47EA6-019C-4E5E-AEC9-F07874A903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4CB78057-835E-4145-8269-DF948074D792}"/>
  </w:font>
  <w:font w:name="方正小标宋简体">
    <w:panose1 w:val="03000509000000000000"/>
    <w:charset w:val="86"/>
    <w:family w:val="auto"/>
    <w:pitch w:val="default"/>
    <w:sig w:usb0="00000001" w:usb1="080E0000" w:usb2="00000000" w:usb3="00000000" w:csb0="00040000" w:csb1="00000000"/>
    <w:embedRegular r:id="rId4" w:fontKey="{5882693B-996C-4C89-BEB9-9A03AD3B3048}"/>
  </w:font>
  <w:font w:name="楷体_GB2312">
    <w:altName w:val="楷体"/>
    <w:panose1 w:val="02010609030101010101"/>
    <w:charset w:val="86"/>
    <w:family w:val="auto"/>
    <w:pitch w:val="default"/>
    <w:sig w:usb0="00000000" w:usb1="00000000" w:usb2="00000000" w:usb3="00000000" w:csb0="00040000" w:csb1="00000000"/>
  </w:font>
  <w:font w:name="Helvetica">
    <w:altName w:val="Arial"/>
    <w:panose1 w:val="020B06040200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Palatino">
    <w:altName w:val="Palatino Linotype"/>
    <w:panose1 w:val="00000000000000000000"/>
    <w:charset w:val="00"/>
    <w:family w:val="auto"/>
    <w:pitch w:val="default"/>
    <w:sig w:usb0="00000000" w:usb1="00000000" w:usb2="14600000" w:usb3="00000000" w:csb0="20000193" w:csb1="4D000000"/>
  </w:font>
  <w:font w:name="方正楷体_GB2312">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5" w:fontKey="{C958ADC1-AE18-4142-9A81-AD0B80873F98}"/>
  </w:font>
  <w:font w:name="微软雅黑">
    <w:panose1 w:val="020B0503020204020204"/>
    <w:charset w:val="86"/>
    <w:family w:val="swiss"/>
    <w:pitch w:val="default"/>
    <w:sig w:usb0="80000287" w:usb1="2ACF3C50" w:usb2="00000016" w:usb3="00000000" w:csb0="0004001F" w:csb1="00000000"/>
    <w:embedRegular r:id="rId6" w:fontKey="{FA11D166-EC47-4A73-B1BF-7D57C792E6B1}"/>
  </w:font>
  <w:font w:name="Wingdings 2">
    <w:panose1 w:val="05020102010507070707"/>
    <w:charset w:val="02"/>
    <w:family w:val="roman"/>
    <w:pitch w:val="default"/>
    <w:sig w:usb0="00000000" w:usb1="00000000" w:usb2="00000000" w:usb3="00000000" w:csb0="80000000" w:csb1="00000000"/>
    <w:embedRegular r:id="rId7" w:fontKey="{5B2C82B2-E071-4042-A41F-7D46333602AB}"/>
  </w:font>
  <w:font w:name="方正小标宋_GBK">
    <w:panose1 w:val="02000000000000000000"/>
    <w:charset w:val="86"/>
    <w:family w:val="auto"/>
    <w:pitch w:val="default"/>
    <w:sig w:usb0="A00002BF" w:usb1="38CF7CFA" w:usb2="00082016" w:usb3="00000000" w:csb0="00040001" w:csb1="00000000"/>
    <w:embedRegular r:id="rId8" w:fontKey="{F8A1BBC6-980A-4C0D-9A75-69EB88252AA9}"/>
  </w:font>
  <w:font w:name="等线">
    <w:panose1 w:val="02010600030101010101"/>
    <w:charset w:val="86"/>
    <w:family w:val="auto"/>
    <w:pitch w:val="default"/>
    <w:sig w:usb0="A00002BF" w:usb1="38CF7CFA" w:usb2="00000016" w:usb3="00000000" w:csb0="0004000F" w:csb1="00000000"/>
    <w:embedRegular r:id="rId9" w:fontKey="{C8BAB152-0CB3-4F7A-A069-CC1A47BDF38D}"/>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835"/>
      <w:rPr>
        <w:rFonts w:ascii="等线" w:hAnsi="等线" w:eastAsia="等线" w:cs="等线"/>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830D3"/>
    <w:multiLevelType w:val="singleLevel"/>
    <w:tmpl w:val="88C830D3"/>
    <w:lvl w:ilvl="0" w:tentative="0">
      <w:start w:val="1"/>
      <w:numFmt w:val="chineseCounting"/>
      <w:suff w:val="nothing"/>
      <w:lvlText w:val="%1、"/>
      <w:lvlJc w:val="left"/>
      <w:rPr>
        <w:rFonts w:hint="eastAsia"/>
      </w:rPr>
    </w:lvl>
  </w:abstractNum>
  <w:abstractNum w:abstractNumId="1">
    <w:nsid w:val="959DCC58"/>
    <w:multiLevelType w:val="singleLevel"/>
    <w:tmpl w:val="959DCC58"/>
    <w:lvl w:ilvl="0" w:tentative="0">
      <w:start w:val="18"/>
      <w:numFmt w:val="chineseCounting"/>
      <w:suff w:val="nothing"/>
      <w:lvlText w:val="%1、"/>
      <w:lvlJc w:val="left"/>
      <w:rPr>
        <w:rFonts w:hint="eastAsia"/>
      </w:rPr>
    </w:lvl>
  </w:abstractNum>
  <w:abstractNum w:abstractNumId="2">
    <w:nsid w:val="B3060951"/>
    <w:multiLevelType w:val="singleLevel"/>
    <w:tmpl w:val="B3060951"/>
    <w:lvl w:ilvl="0" w:tentative="0">
      <w:start w:val="2"/>
      <w:numFmt w:val="decimal"/>
      <w:lvlText w:val="%1."/>
      <w:lvlJc w:val="left"/>
      <w:pPr>
        <w:tabs>
          <w:tab w:val="left" w:pos="312"/>
        </w:tabs>
      </w:pPr>
    </w:lvl>
  </w:abstractNum>
  <w:abstractNum w:abstractNumId="3">
    <w:nsid w:val="BBF7D856"/>
    <w:multiLevelType w:val="singleLevel"/>
    <w:tmpl w:val="BBF7D856"/>
    <w:lvl w:ilvl="0" w:tentative="0">
      <w:start w:val="3"/>
      <w:numFmt w:val="decimal"/>
      <w:lvlText w:val="%1."/>
      <w:lvlJc w:val="left"/>
      <w:pPr>
        <w:tabs>
          <w:tab w:val="left" w:pos="312"/>
        </w:tabs>
      </w:pPr>
    </w:lvl>
  </w:abstractNum>
  <w:abstractNum w:abstractNumId="4">
    <w:nsid w:val="03229E5A"/>
    <w:multiLevelType w:val="multilevel"/>
    <w:tmpl w:val="03229E5A"/>
    <w:lvl w:ilvl="0" w:tentative="0">
      <w:start w:val="1"/>
      <w:numFmt w:val="chineseCounting"/>
      <w:suff w:val="nothing"/>
      <w:lvlText w:val="第%1章 "/>
      <w:lvlJc w:val="left"/>
      <w:pPr>
        <w:tabs>
          <w:tab w:val="left" w:pos="0"/>
        </w:tabs>
        <w:ind w:left="0" w:firstLine="402"/>
      </w:pPr>
      <w:rPr>
        <w:rFonts w:hint="eastAsia" w:eastAsia="方正小标宋简体"/>
        <w:szCs w:val="32"/>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11D5AD02"/>
    <w:multiLevelType w:val="singleLevel"/>
    <w:tmpl w:val="11D5AD02"/>
    <w:lvl w:ilvl="0" w:tentative="0">
      <w:start w:val="1"/>
      <w:numFmt w:val="chineseCounting"/>
      <w:suff w:val="nothing"/>
      <w:lvlText w:val="%1、"/>
      <w:lvlJc w:val="left"/>
      <w:rPr>
        <w:rFonts w:hint="eastAsia"/>
      </w:rPr>
    </w:lvl>
  </w:abstractNum>
  <w:abstractNum w:abstractNumId="6">
    <w:nsid w:val="2E5F8F9A"/>
    <w:multiLevelType w:val="singleLevel"/>
    <w:tmpl w:val="2E5F8F9A"/>
    <w:lvl w:ilvl="0" w:tentative="0">
      <w:start w:val="1"/>
      <w:numFmt w:val="chineseCounting"/>
      <w:suff w:val="nothing"/>
      <w:lvlText w:val="（%1）"/>
      <w:lvlJc w:val="left"/>
      <w:rPr>
        <w:rFonts w:hint="eastAsia"/>
      </w:rPr>
    </w:lvl>
  </w:abstractNum>
  <w:abstractNum w:abstractNumId="7">
    <w:nsid w:val="33C1BB75"/>
    <w:multiLevelType w:val="singleLevel"/>
    <w:tmpl w:val="33C1BB75"/>
    <w:lvl w:ilvl="0" w:tentative="0">
      <w:start w:val="1"/>
      <w:numFmt w:val="chineseCounting"/>
      <w:suff w:val="nothing"/>
      <w:lvlText w:val="%1、"/>
      <w:lvlJc w:val="left"/>
      <w:rPr>
        <w:rFonts w:hint="eastAsia"/>
      </w:rPr>
    </w:lvl>
  </w:abstractNum>
  <w:num w:numId="1">
    <w:abstractNumId w:val="4"/>
  </w:num>
  <w:num w:numId="2">
    <w:abstractNumId w:val="5"/>
  </w:num>
  <w:num w:numId="3">
    <w:abstractNumId w:val="6"/>
  </w:num>
  <w:num w:numId="4">
    <w:abstractNumId w:val="7"/>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320"/>
  <w:drawingGridVerticalSpacing w:val="22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jQyNDhiMTA4YjQ5MzMxMTljMmEzMThkNGFlZWYifQ=="/>
  </w:docVars>
  <w:rsids>
    <w:rsidRoot w:val="00000000"/>
    <w:rsid w:val="01222126"/>
    <w:rsid w:val="01BB5DC4"/>
    <w:rsid w:val="02413B50"/>
    <w:rsid w:val="035D3490"/>
    <w:rsid w:val="037E4FBC"/>
    <w:rsid w:val="03B92AB8"/>
    <w:rsid w:val="04F132AC"/>
    <w:rsid w:val="05603F5D"/>
    <w:rsid w:val="0639523F"/>
    <w:rsid w:val="070F325E"/>
    <w:rsid w:val="077839A8"/>
    <w:rsid w:val="0BCE78B4"/>
    <w:rsid w:val="0C6E47B5"/>
    <w:rsid w:val="0E4A0D0C"/>
    <w:rsid w:val="10306921"/>
    <w:rsid w:val="11203191"/>
    <w:rsid w:val="11620DC3"/>
    <w:rsid w:val="123D5964"/>
    <w:rsid w:val="132A0321"/>
    <w:rsid w:val="134F427F"/>
    <w:rsid w:val="13A94B5C"/>
    <w:rsid w:val="15292B36"/>
    <w:rsid w:val="19973DB9"/>
    <w:rsid w:val="1B0A16A2"/>
    <w:rsid w:val="1B247DAC"/>
    <w:rsid w:val="1FB8426D"/>
    <w:rsid w:val="2081315F"/>
    <w:rsid w:val="20C84A0E"/>
    <w:rsid w:val="214A5FAC"/>
    <w:rsid w:val="21595EB1"/>
    <w:rsid w:val="22142F02"/>
    <w:rsid w:val="23312E0D"/>
    <w:rsid w:val="23A56423"/>
    <w:rsid w:val="259059C1"/>
    <w:rsid w:val="259E5C58"/>
    <w:rsid w:val="2A347ABE"/>
    <w:rsid w:val="2B1E1529"/>
    <w:rsid w:val="2C6D2AD9"/>
    <w:rsid w:val="2D0610CC"/>
    <w:rsid w:val="2D1F0E92"/>
    <w:rsid w:val="311E15E5"/>
    <w:rsid w:val="32236BAB"/>
    <w:rsid w:val="361A23CB"/>
    <w:rsid w:val="36A57137"/>
    <w:rsid w:val="370B4CEA"/>
    <w:rsid w:val="37D662B3"/>
    <w:rsid w:val="38213B7C"/>
    <w:rsid w:val="3A06128C"/>
    <w:rsid w:val="3AA52A6C"/>
    <w:rsid w:val="3C6E2659"/>
    <w:rsid w:val="3E624307"/>
    <w:rsid w:val="40030C9F"/>
    <w:rsid w:val="40343AB0"/>
    <w:rsid w:val="412C3B8D"/>
    <w:rsid w:val="41A3260D"/>
    <w:rsid w:val="42103E63"/>
    <w:rsid w:val="42F5034D"/>
    <w:rsid w:val="43CD7754"/>
    <w:rsid w:val="45CA4C64"/>
    <w:rsid w:val="45EB3D36"/>
    <w:rsid w:val="462C0B94"/>
    <w:rsid w:val="46AB1021"/>
    <w:rsid w:val="46FB2366"/>
    <w:rsid w:val="47206EEE"/>
    <w:rsid w:val="4A6F355B"/>
    <w:rsid w:val="4CAB7E72"/>
    <w:rsid w:val="4EF14C6E"/>
    <w:rsid w:val="4F890C34"/>
    <w:rsid w:val="4F9559BD"/>
    <w:rsid w:val="512739A0"/>
    <w:rsid w:val="54A45E04"/>
    <w:rsid w:val="5619670A"/>
    <w:rsid w:val="57266932"/>
    <w:rsid w:val="57E14E1A"/>
    <w:rsid w:val="58B8458A"/>
    <w:rsid w:val="597405AC"/>
    <w:rsid w:val="59742225"/>
    <w:rsid w:val="5AA91B21"/>
    <w:rsid w:val="5DB5304B"/>
    <w:rsid w:val="5E817C31"/>
    <w:rsid w:val="5F074CF0"/>
    <w:rsid w:val="5F634179"/>
    <w:rsid w:val="5FD373E9"/>
    <w:rsid w:val="60976575"/>
    <w:rsid w:val="610405DA"/>
    <w:rsid w:val="62661FA3"/>
    <w:rsid w:val="62756F54"/>
    <w:rsid w:val="628170C6"/>
    <w:rsid w:val="652C55BC"/>
    <w:rsid w:val="662517F3"/>
    <w:rsid w:val="66AF33EB"/>
    <w:rsid w:val="67843BCF"/>
    <w:rsid w:val="67B660A5"/>
    <w:rsid w:val="686D21BE"/>
    <w:rsid w:val="699A5717"/>
    <w:rsid w:val="6A403927"/>
    <w:rsid w:val="6D876DDE"/>
    <w:rsid w:val="717970B3"/>
    <w:rsid w:val="71B13BB9"/>
    <w:rsid w:val="71D44D3B"/>
    <w:rsid w:val="7205458D"/>
    <w:rsid w:val="721A045B"/>
    <w:rsid w:val="73111257"/>
    <w:rsid w:val="7BFC1097"/>
    <w:rsid w:val="7CD400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autoRedefine/>
    <w:qFormat/>
    <w:uiPriority w:val="0"/>
    <w:pPr>
      <w:keepNext/>
      <w:keepLines/>
      <w:spacing w:beforeAutospacing="0" w:afterAutospacing="0" w:line="600" w:lineRule="exact"/>
      <w:jc w:val="center"/>
      <w:outlineLvl w:val="0"/>
    </w:pPr>
    <w:rPr>
      <w:rFonts w:hint="eastAsia" w:ascii="宋体" w:hAnsi="宋体" w:eastAsia="方正小标宋简体"/>
      <w:kern w:val="44"/>
      <w:sz w:val="44"/>
    </w:rPr>
  </w:style>
  <w:style w:type="paragraph" w:styleId="4">
    <w:name w:val="heading 2"/>
    <w:basedOn w:val="1"/>
    <w:next w:val="5"/>
    <w:autoRedefine/>
    <w:qFormat/>
    <w:uiPriority w:val="0"/>
    <w:pPr>
      <w:keepNext/>
      <w:keepLines/>
      <w:spacing w:beforeAutospacing="0" w:afterAutospacing="0" w:line="560" w:lineRule="exact"/>
      <w:ind w:firstLine="880" w:firstLineChars="200"/>
      <w:jc w:val="left"/>
      <w:outlineLvl w:val="1"/>
    </w:pPr>
    <w:rPr>
      <w:rFonts w:hint="eastAsia" w:ascii="Arial" w:hAnsi="Arial" w:eastAsia="黑体" w:cs="Times New Roman"/>
      <w:sz w:val="32"/>
    </w:rPr>
  </w:style>
  <w:style w:type="paragraph" w:styleId="6">
    <w:name w:val="heading 3"/>
    <w:basedOn w:val="1"/>
    <w:next w:val="5"/>
    <w:autoRedefine/>
    <w:qFormat/>
    <w:uiPriority w:val="0"/>
    <w:pPr>
      <w:keepNext/>
      <w:keepLines/>
      <w:spacing w:beforeAutospacing="0" w:afterAutospacing="0" w:line="560" w:lineRule="exact"/>
      <w:ind w:firstLine="880" w:firstLineChars="200"/>
      <w:outlineLvl w:val="2"/>
    </w:pPr>
    <w:rPr>
      <w:rFonts w:ascii="Times New Roman" w:hAnsi="Times New Roman" w:eastAsia="楷体_GB2312"/>
      <w:kern w:val="2"/>
      <w:sz w:val="32"/>
      <w:szCs w:val="24"/>
      <w:lang w:val="en-US" w:eastAsia="zh-CN" w:bidi="ar-SA"/>
    </w:rPr>
  </w:style>
  <w:style w:type="paragraph" w:styleId="7">
    <w:name w:val="heading 4"/>
    <w:basedOn w:val="1"/>
    <w:next w:val="1"/>
    <w:autoRedefine/>
    <w:qFormat/>
    <w:uiPriority w:val="0"/>
    <w:pPr>
      <w:keepNext/>
      <w:keepLines/>
      <w:spacing w:beforeAutospacing="0" w:afterAutospacing="0" w:line="560" w:lineRule="exact"/>
      <w:outlineLvl w:val="3"/>
    </w:pPr>
    <w:rPr>
      <w:rFonts w:ascii="Arial" w:hAnsi="Arial" w:eastAsia="仿宋_GB2312"/>
      <w:sz w:val="28"/>
    </w:rPr>
  </w:style>
  <w:style w:type="character" w:default="1" w:styleId="23">
    <w:name w:val="Default Paragraph Font"/>
    <w:autoRedefine/>
    <w:qFormat/>
    <w:uiPriority w:val="0"/>
  </w:style>
  <w:style w:type="table" w:default="1" w:styleId="21">
    <w:name w:val="Normal Table"/>
    <w:autoRedefine/>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before="100" w:beforeAutospacing="1" w:after="120"/>
    </w:pPr>
  </w:style>
  <w:style w:type="paragraph" w:styleId="5">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8">
    <w:name w:val="annotation text"/>
    <w:basedOn w:val="1"/>
    <w:autoRedefine/>
    <w:qFormat/>
    <w:uiPriority w:val="0"/>
    <w:pPr>
      <w:jc w:val="left"/>
    </w:pPr>
  </w:style>
  <w:style w:type="paragraph" w:styleId="9">
    <w:name w:val="Body Text Indent"/>
    <w:basedOn w:val="1"/>
    <w:next w:val="1"/>
    <w:autoRedefine/>
    <w:qFormat/>
    <w:uiPriority w:val="0"/>
    <w:pPr>
      <w:spacing w:after="120"/>
      <w:ind w:left="420" w:leftChars="200"/>
    </w:pPr>
    <w:rPr>
      <w:kern w:val="0"/>
      <w:sz w:val="20"/>
    </w:r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99"/>
    <w:rPr>
      <w:rFonts w:ascii="宋体" w:hAnsi="Courier New"/>
      <w:szCs w:val="21"/>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next w:val="1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引用1"/>
    <w:basedOn w:val="1"/>
    <w:next w:val="1"/>
    <w:autoRedefine/>
    <w:qFormat/>
    <w:uiPriority w:val="99"/>
    <w:pPr>
      <w:widowControl/>
      <w:wordWrap w:val="0"/>
      <w:spacing w:before="200" w:after="160"/>
      <w:ind w:left="864" w:right="864"/>
      <w:jc w:val="center"/>
    </w:pPr>
    <w:rPr>
      <w:rFonts w:ascii="宋体"/>
      <w:i/>
      <w:color w:val="404040"/>
    </w:rPr>
  </w:style>
  <w:style w:type="paragraph" w:styleId="15">
    <w:name w:val="toc 1"/>
    <w:basedOn w:val="1"/>
    <w:next w:val="1"/>
    <w:autoRedefine/>
    <w:qFormat/>
    <w:uiPriority w:val="0"/>
  </w:style>
  <w:style w:type="paragraph" w:styleId="16">
    <w:name w:val="Subtitle"/>
    <w:basedOn w:val="1"/>
    <w:next w:val="1"/>
    <w:autoRedefine/>
    <w:qFormat/>
    <w:uiPriority w:val="0"/>
    <w:pPr>
      <w:spacing w:line="288" w:lineRule="auto"/>
      <w:outlineLvl w:val="1"/>
    </w:pPr>
    <w:rPr>
      <w:rFonts w:ascii="Helvetica" w:hAnsi="Helvetica" w:eastAsia="Arial Unicode MS" w:cs="Arial Unicode MS"/>
      <w:b/>
      <w:bCs/>
      <w:color w:val="565452"/>
      <w:spacing w:val="7"/>
      <w:sz w:val="36"/>
      <w:szCs w:val="36"/>
      <w:lang w:val="de-DE" w:eastAsia="zh-CN" w:bidi="ar-SA"/>
    </w:rPr>
  </w:style>
  <w:style w:type="paragraph" w:styleId="17">
    <w:name w:val="toc 2"/>
    <w:basedOn w:val="1"/>
    <w:next w:val="1"/>
    <w:autoRedefine/>
    <w:qFormat/>
    <w:uiPriority w:val="0"/>
    <w:pPr>
      <w:ind w:left="420" w:leftChars="200"/>
    </w:pPr>
  </w:style>
  <w:style w:type="paragraph" w:styleId="18">
    <w:name w:val="Body Text 2"/>
    <w:basedOn w:val="1"/>
    <w:autoRedefine/>
    <w:qFormat/>
    <w:uiPriority w:val="0"/>
    <w:pPr>
      <w:spacing w:line="560" w:lineRule="exact"/>
      <w:ind w:firstLine="880" w:firstLineChars="200"/>
    </w:p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0">
    <w:name w:val="Body Text First Indent 2"/>
    <w:basedOn w:val="9"/>
    <w:autoRedefine/>
    <w:unhideWhenUsed/>
    <w:qFormat/>
    <w:uiPriority w:val="0"/>
    <w:pPr>
      <w:ind w:left="600" w:leftChars="600" w:firstLine="210"/>
    </w:pPr>
    <w:rPr>
      <w:kern w:val="2"/>
      <w:sz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首行缩进"/>
    <w:basedOn w:val="1"/>
    <w:autoRedefine/>
    <w:qFormat/>
    <w:uiPriority w:val="0"/>
    <w:pPr>
      <w:ind w:firstLine="200" w:firstLineChars="200"/>
    </w:pPr>
    <w:rPr>
      <w:rFonts w:ascii="Times New Roman" w:hAnsi="Times New Roman" w:eastAsia="宋体" w:cs="Times New Roman"/>
      <w:lang w:val="zh-CN"/>
    </w:rPr>
  </w:style>
  <w:style w:type="paragraph" w:customStyle="1" w:styleId="28">
    <w:name w:val="样式王"/>
    <w:basedOn w:val="1"/>
    <w:autoRedefine/>
    <w:qFormat/>
    <w:uiPriority w:val="0"/>
    <w:rPr>
      <w:rFonts w:ascii="Times New Roman" w:hAnsi="Times New Roman" w:eastAsia="宋体" w:cs="Times New Roman"/>
      <w:szCs w:val="24"/>
    </w:rPr>
  </w:style>
  <w:style w:type="paragraph" w:customStyle="1" w:styleId="29">
    <w:name w:val="正文 2"/>
    <w:autoRedefine/>
    <w:qFormat/>
    <w:uiPriority w:val="0"/>
    <w:rPr>
      <w:rFonts w:hint="eastAsia" w:ascii="Arial Unicode MS" w:hAnsi="Arial Unicode MS" w:eastAsia="Arial Unicode MS" w:cs="Arial Unicode MS"/>
      <w:color w:val="000000"/>
      <w:sz w:val="24"/>
      <w:szCs w:val="24"/>
      <w:lang w:val="zh-CN" w:eastAsia="zh-CN" w:bidi="ar-SA"/>
    </w:rPr>
  </w:style>
  <w:style w:type="paragraph" w:customStyle="1" w:styleId="30">
    <w:name w:val="说明"/>
    <w:autoRedefine/>
    <w:qFormat/>
    <w:uiPriority w:val="0"/>
    <w:pPr>
      <w:spacing w:after="240" w:line="312" w:lineRule="auto"/>
      <w:jc w:val="center"/>
    </w:pPr>
    <w:rPr>
      <w:rFonts w:ascii="Palatino" w:hAnsi="Palatino" w:eastAsia="Palatino" w:cs="Palatino"/>
      <w:i/>
      <w:iCs/>
      <w:color w:val="008CB4"/>
      <w:sz w:val="26"/>
      <w:szCs w:val="26"/>
      <w:lang w:val="en-US" w:eastAsia="zh-CN" w:bidi="ar-SA"/>
    </w:rPr>
  </w:style>
  <w:style w:type="paragraph" w:customStyle="1" w:styleId="31">
    <w:name w:val="自由格式"/>
    <w:autoRedefine/>
    <w:qFormat/>
    <w:uiPriority w:val="0"/>
    <w:pPr>
      <w:spacing w:line="288" w:lineRule="auto"/>
      <w:ind w:firstLine="600"/>
    </w:pPr>
    <w:rPr>
      <w:rFonts w:hint="eastAsia" w:ascii="Arial Unicode MS" w:hAnsi="Arial Unicode MS" w:eastAsia="Arial Unicode MS" w:cs="Arial Unicode MS"/>
      <w:color w:val="000000"/>
      <w:sz w:val="24"/>
      <w:szCs w:val="24"/>
      <w:lang w:val="zh-CN" w:eastAsia="zh-CN" w:bidi="ar-SA"/>
    </w:rPr>
  </w:style>
  <w:style w:type="paragraph" w:customStyle="1" w:styleId="32">
    <w:name w:val="Table Paragraph"/>
    <w:basedOn w:val="1"/>
    <w:autoRedefine/>
    <w:qFormat/>
    <w:uiPriority w:val="1"/>
    <w:rPr>
      <w:rFonts w:ascii="Times New Roman" w:hAnsi="Times New Roman" w:eastAsia="宋体" w:cs="Times New Roman"/>
    </w:rPr>
  </w:style>
  <w:style w:type="paragraph" w:customStyle="1" w:styleId="33">
    <w:name w:val="列表段落1"/>
    <w:basedOn w:val="1"/>
    <w:autoRedefine/>
    <w:qFormat/>
    <w:uiPriority w:val="0"/>
    <w:pPr>
      <w:ind w:firstLine="420" w:firstLineChars="200"/>
    </w:pPr>
    <w:rPr>
      <w:rFonts w:ascii="Times New Roman" w:hAnsi="Times New Roman" w:eastAsia="宋体" w:cs="Times New Roman"/>
      <w:sz w:val="18"/>
      <w:szCs w:val="18"/>
    </w:rPr>
  </w:style>
  <w:style w:type="paragraph" w:customStyle="1" w:styleId="34">
    <w:name w:val="列出段落2"/>
    <w:basedOn w:val="1"/>
    <w:autoRedefine/>
    <w:qFormat/>
    <w:uiPriority w:val="34"/>
    <w:pPr>
      <w:ind w:firstLine="420" w:firstLineChars="200"/>
    </w:pPr>
    <w:rPr>
      <w:szCs w:val="24"/>
    </w:rPr>
  </w:style>
  <w:style w:type="paragraph" w:customStyle="1" w:styleId="35">
    <w:name w:val="正文文本缩进1"/>
    <w:basedOn w:val="1"/>
    <w:autoRedefine/>
    <w:qFormat/>
    <w:uiPriority w:val="99"/>
    <w:pPr>
      <w:ind w:firstLine="570"/>
    </w:pPr>
    <w:rPr>
      <w:kern w:val="0"/>
      <w:sz w:val="28"/>
      <w:szCs w:val="24"/>
      <w:u w:val="single"/>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character" w:customStyle="1" w:styleId="37">
    <w:name w:val="font12"/>
    <w:basedOn w:val="23"/>
    <w:autoRedefine/>
    <w:qFormat/>
    <w:uiPriority w:val="0"/>
    <w:rPr>
      <w:rFonts w:hint="eastAsia" w:ascii="方正小标宋简体" w:hAnsi="方正小标宋简体" w:eastAsia="方正小标宋简体" w:cs="方正小标宋简体"/>
      <w:color w:val="000000"/>
      <w:sz w:val="40"/>
      <w:szCs w:val="40"/>
      <w:u w:val="none"/>
    </w:rPr>
  </w:style>
  <w:style w:type="character" w:customStyle="1" w:styleId="38">
    <w:name w:val="font101"/>
    <w:basedOn w:val="23"/>
    <w:autoRedefine/>
    <w:qFormat/>
    <w:uiPriority w:val="0"/>
    <w:rPr>
      <w:rFonts w:hint="eastAsia" w:ascii="方正小标宋简体" w:hAnsi="方正小标宋简体" w:eastAsia="方正小标宋简体" w:cs="方正小标宋简体"/>
      <w:color w:val="000000"/>
      <w:sz w:val="40"/>
      <w:szCs w:val="40"/>
      <w:u w:val="single"/>
    </w:rPr>
  </w:style>
  <w:style w:type="character" w:customStyle="1" w:styleId="39">
    <w:name w:val="font31"/>
    <w:basedOn w:val="23"/>
    <w:autoRedefine/>
    <w:qFormat/>
    <w:uiPriority w:val="0"/>
    <w:rPr>
      <w:rFonts w:hint="default" w:ascii="方正楷体_GB2312" w:hAnsi="方正楷体_GB2312" w:eastAsia="方正楷体_GB2312" w:cs="方正楷体_GB2312"/>
      <w:color w:val="000000"/>
      <w:sz w:val="22"/>
      <w:szCs w:val="22"/>
      <w:u w:val="none"/>
    </w:rPr>
  </w:style>
  <w:style w:type="character" w:customStyle="1" w:styleId="40">
    <w:name w:val="font111"/>
    <w:basedOn w:val="23"/>
    <w:autoRedefine/>
    <w:qFormat/>
    <w:uiPriority w:val="0"/>
    <w:rPr>
      <w:rFonts w:hint="default" w:ascii="方正楷体_GB2312" w:hAnsi="方正楷体_GB2312" w:eastAsia="方正楷体_GB2312" w:cs="方正楷体_GB2312"/>
      <w:color w:val="000000"/>
      <w:sz w:val="22"/>
      <w:szCs w:val="22"/>
      <w:u w:val="single"/>
    </w:rPr>
  </w:style>
  <w:style w:type="paragraph" w:customStyle="1" w:styleId="41">
    <w:name w:val="正文2"/>
    <w:basedOn w:val="1"/>
    <w:next w:val="1"/>
    <w:autoRedefine/>
    <w:qFormat/>
    <w:uiPriority w:val="0"/>
    <w:pPr>
      <w:ind w:firstLine="570"/>
    </w:pPr>
    <w:rPr>
      <w:rFonts w:ascii="仿宋" w:hAnsi="仿宋" w:eastAsia="仿宋"/>
      <w:kern w:val="0"/>
      <w:sz w:val="20"/>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2"/>
    <w:autoRedefine/>
    <w:qFormat/>
    <w:uiPriority w:val="0"/>
    <w:pPr>
      <w:ind w:leftChars="200"/>
    </w:pPr>
    <w:rPr>
      <w:rFonts w:ascii="Times New Roman" w:hAnsi="Times New Roman" w:eastAsia="宋体" w:cs="Times New Roman"/>
      <w:sz w:val="20"/>
      <w:szCs w:val="20"/>
    </w:rPr>
  </w:style>
  <w:style w:type="paragraph" w:customStyle="1" w:styleId="44">
    <w:name w:val="WPSOffice手动目录 3"/>
    <w:autoRedefine/>
    <w:qFormat/>
    <w:uiPriority w:val="0"/>
    <w:pPr>
      <w:ind w:leftChars="400"/>
    </w:pPr>
    <w:rPr>
      <w:rFonts w:ascii="Times New Roman" w:hAnsi="Times New Roman" w:eastAsia="宋体" w:cs="Times New Roman"/>
      <w:sz w:val="20"/>
      <w:szCs w:val="20"/>
    </w:rPr>
  </w:style>
  <w:style w:type="paragraph" w:styleId="45">
    <w:name w:val="List Paragraph"/>
    <w:basedOn w:val="1"/>
    <w:autoRedefine/>
    <w:qFormat/>
    <w:uiPriority w:val="34"/>
    <w:pPr>
      <w:ind w:firstLine="420" w:firstLineChars="200"/>
    </w:pPr>
    <w:rPr>
      <w:rFonts w:ascii="Times New Roman" w:hAnsi="Times New Roman" w:eastAsia="宋体" w:cs="Times New Roman"/>
      <w:szCs w:val="20"/>
    </w:rPr>
  </w:style>
  <w:style w:type="character" w:customStyle="1" w:styleId="46">
    <w:name w:val="font11"/>
    <w:basedOn w:val="23"/>
    <w:autoRedefine/>
    <w:qFormat/>
    <w:uiPriority w:val="0"/>
    <w:rPr>
      <w:rFonts w:hint="eastAsia" w:ascii="仿宋" w:hAnsi="仿宋" w:eastAsia="仿宋" w:cs="仿宋"/>
      <w:color w:val="000000"/>
      <w:sz w:val="22"/>
      <w:szCs w:val="22"/>
      <w:u w:val="none"/>
    </w:rPr>
  </w:style>
  <w:style w:type="character" w:customStyle="1" w:styleId="47">
    <w:name w:val="font21"/>
    <w:basedOn w:val="23"/>
    <w:autoRedefine/>
    <w:qFormat/>
    <w:uiPriority w:val="0"/>
    <w:rPr>
      <w:rFonts w:hint="eastAsia" w:ascii="仿宋" w:hAnsi="仿宋" w:eastAsia="仿宋" w:cs="仿宋"/>
      <w:color w:val="000000"/>
      <w:sz w:val="22"/>
      <w:szCs w:val="22"/>
      <w:u w:val="none"/>
    </w:rPr>
  </w:style>
  <w:style w:type="character" w:customStyle="1" w:styleId="48">
    <w:name w:val="font51"/>
    <w:basedOn w:val="23"/>
    <w:autoRedefine/>
    <w:qFormat/>
    <w:uiPriority w:val="0"/>
    <w:rPr>
      <w:rFonts w:hint="eastAsia" w:ascii="宋体" w:hAnsi="宋体" w:eastAsia="宋体" w:cs="宋体"/>
      <w:b/>
      <w:bCs/>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四川交投物流有限公司</Company>
  <Pages>22</Pages>
  <Words>8792</Words>
  <Characters>9502</Characters>
  <Lines>0</Lines>
  <Paragraphs>573</Paragraphs>
  <TotalTime>48</TotalTime>
  <ScaleCrop>false</ScaleCrop>
  <LinksUpToDate>false</LinksUpToDate>
  <CharactersWithSpaces>10220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2023-04-12T10:12:00Z</dcterms:created>
  <dc:creator>冷露</dc:creator>
  <cp:lastModifiedBy>黑先生</cp:lastModifiedBy>
  <cp:lastPrinted>2024-02-26T02:52:00Z</cp:lastPrinted>
  <dcterms:modified xsi:type="dcterms:W3CDTF">2024-02-26T03:32:53Z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AE5D2F0C4FDC4AD095FC006AD9B66BDA_13</vt:lpwstr>
  </property>
</Properties>
</file>