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spacing w:line="560" w:lineRule="exact"/>
        <w:rPr>
          <w:color w:val="auto"/>
        </w:rPr>
      </w:pP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四川蜀物兴川物流发展有限公司</w:t>
      </w: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某公司港口作业纠纷案件诉讼及过程法律服务采购项目</w:t>
      </w:r>
    </w:p>
    <w:p>
      <w:pPr>
        <w:pStyle w:val="2"/>
        <w:rPr>
          <w:rFonts w:ascii="方正小标宋_GBK" w:hAnsi="方正小标宋_GBK" w:eastAsia="方正小标宋_GBK" w:cs="方正小标宋_GBK"/>
          <w:bCs/>
          <w:color w:val="auto"/>
          <w:sz w:val="44"/>
          <w:szCs w:val="44"/>
        </w:rPr>
      </w:pPr>
    </w:p>
    <w:p>
      <w:pPr>
        <w:rPr>
          <w:color w:val="auto"/>
        </w:rPr>
      </w:pPr>
    </w:p>
    <w:p>
      <w:pPr>
        <w:spacing w:line="360" w:lineRule="auto"/>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比</w:t>
      </w:r>
    </w:p>
    <w:p>
      <w:pPr>
        <w:spacing w:line="360" w:lineRule="auto"/>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选</w:t>
      </w:r>
    </w:p>
    <w:p>
      <w:pPr>
        <w:spacing w:line="360" w:lineRule="auto"/>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文</w:t>
      </w:r>
    </w:p>
    <w:p>
      <w:pPr>
        <w:tabs>
          <w:tab w:val="left" w:pos="3960"/>
        </w:tabs>
        <w:spacing w:line="360" w:lineRule="auto"/>
        <w:jc w:val="center"/>
        <w:rPr>
          <w:rFonts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件</w:t>
      </w:r>
    </w:p>
    <w:p>
      <w:pPr>
        <w:jc w:val="center"/>
        <w:rPr>
          <w:rFonts w:ascii="仿宋" w:eastAsia="仿宋" w:cs="宋体"/>
          <w:b/>
          <w:color w:val="auto"/>
          <w:sz w:val="32"/>
          <w:szCs w:val="32"/>
        </w:rPr>
      </w:pPr>
      <w:bookmarkStart w:id="0" w:name="_Hlt101233737"/>
      <w:bookmarkEnd w:id="0"/>
      <w:bookmarkStart w:id="1" w:name="_Hlt101843627"/>
      <w:bookmarkEnd w:id="1"/>
      <w:bookmarkStart w:id="2" w:name="_Toc217446030"/>
      <w:bookmarkStart w:id="3" w:name="_Toc183682338"/>
    </w:p>
    <w:p>
      <w:pPr>
        <w:adjustRightInd w:val="0"/>
        <w:snapToGrid w:val="0"/>
        <w:spacing w:line="600" w:lineRule="exact"/>
        <w:ind w:right="170" w:rightChars="50"/>
        <w:jc w:val="center"/>
        <w:rPr>
          <w:rFonts w:ascii="方正小标宋简体" w:hAnsi="宋体" w:eastAsia="方正小标宋简体"/>
          <w:color w:val="auto"/>
          <w:kern w:val="2"/>
          <w:sz w:val="32"/>
          <w:szCs w:val="32"/>
        </w:rPr>
      </w:pPr>
      <w:r>
        <w:rPr>
          <w:rFonts w:hint="eastAsia" w:ascii="方正小标宋简体" w:hAnsi="宋体" w:eastAsia="方正小标宋简体"/>
          <w:color w:val="auto"/>
          <w:kern w:val="2"/>
          <w:sz w:val="32"/>
          <w:szCs w:val="32"/>
        </w:rPr>
        <w:t>四川蜀物兴川物流发展有限公司</w:t>
      </w:r>
    </w:p>
    <w:p>
      <w:pPr>
        <w:adjustRightInd w:val="0"/>
        <w:snapToGrid w:val="0"/>
        <w:spacing w:line="600" w:lineRule="exact"/>
        <w:ind w:right="170" w:rightChars="50"/>
        <w:jc w:val="center"/>
        <w:rPr>
          <w:rFonts w:ascii="方正小标宋简体" w:hAnsi="宋体" w:eastAsia="方正小标宋简体"/>
          <w:color w:val="auto"/>
          <w:kern w:val="2"/>
          <w:sz w:val="32"/>
          <w:szCs w:val="32"/>
        </w:rPr>
        <w:sectPr>
          <w:headerReference r:id="rId4" w:type="first"/>
          <w:footerReference r:id="rId5" w:type="default"/>
          <w:headerReference r:id="rId3" w:type="even"/>
          <w:footerReference r:id="rId6" w:type="even"/>
          <w:type w:val="nextColumn"/>
          <w:pgSz w:w="11905" w:h="16838"/>
          <w:pgMar w:top="1440" w:right="1474" w:bottom="1440" w:left="1474" w:header="425" w:footer="992" w:gutter="0"/>
          <w:pgNumType w:start="1"/>
          <w:cols w:space="720" w:num="1"/>
          <w:titlePg/>
          <w:docGrid w:linePitch="312" w:charSpace="0"/>
        </w:sectPr>
      </w:pPr>
      <w:r>
        <w:rPr>
          <w:rFonts w:hint="eastAsia" w:ascii="方正小标宋简体" w:hAnsi="宋体" w:eastAsia="方正小标宋简体"/>
          <w:color w:val="auto"/>
          <w:sz w:val="32"/>
          <w:szCs w:val="32"/>
        </w:rPr>
        <w:t>二〇二四</w:t>
      </w:r>
      <w:r>
        <w:rPr>
          <w:rFonts w:hint="eastAsia" w:ascii="方正小标宋简体" w:hAnsi="宋体" w:eastAsia="方正小标宋简体"/>
          <w:color w:val="auto"/>
          <w:kern w:val="2"/>
          <w:sz w:val="32"/>
          <w:szCs w:val="32"/>
        </w:rPr>
        <w:t>年一</w:t>
      </w:r>
      <w:r>
        <w:rPr>
          <w:rFonts w:hint="eastAsia" w:ascii="方正小标宋简体" w:hAnsi="宋体" w:eastAsia="方正小标宋简体"/>
          <w:color w:val="auto"/>
          <w:kern w:val="2"/>
          <w:sz w:val="32"/>
          <w:szCs w:val="32"/>
          <w:lang w:val="zh-CN"/>
        </w:rPr>
        <w:t>月</w:t>
      </w:r>
    </w:p>
    <w:p>
      <w:pPr>
        <w:rPr>
          <w:rFonts w:ascii="仿宋" w:eastAsia="仿宋" w:cs="仿宋"/>
          <w:b/>
          <w:bCs/>
          <w:color w:val="auto"/>
          <w:sz w:val="36"/>
          <w:szCs w:val="36"/>
        </w:rPr>
      </w:pPr>
      <w:bookmarkStart w:id="4" w:name="_Toc29406"/>
      <w:r>
        <w:rPr>
          <w:rFonts w:hint="eastAsia" w:ascii="仿宋" w:eastAsia="仿宋" w:cs="仿宋"/>
          <w:b/>
          <w:bCs/>
          <w:color w:val="auto"/>
          <w:sz w:val="36"/>
          <w:szCs w:val="36"/>
        </w:rPr>
        <w:br w:type="page"/>
      </w:r>
    </w:p>
    <w:p>
      <w:pPr>
        <w:jc w:val="center"/>
        <w:rPr>
          <w:rFonts w:ascii="仿宋" w:eastAsia="仿宋" w:cs="仿宋"/>
          <w:b/>
          <w:bCs/>
          <w:color w:val="auto"/>
          <w:sz w:val="36"/>
          <w:szCs w:val="36"/>
        </w:rPr>
      </w:pPr>
      <w:r>
        <w:rPr>
          <w:rFonts w:hint="eastAsia" w:ascii="仿宋" w:eastAsia="仿宋" w:cs="仿宋"/>
          <w:b/>
          <w:bCs/>
          <w:color w:val="auto"/>
          <w:sz w:val="36"/>
          <w:szCs w:val="36"/>
        </w:rPr>
        <w:t>目    录</w:t>
      </w:r>
      <w:bookmarkEnd w:id="4"/>
    </w:p>
    <w:p>
      <w:pPr>
        <w:rPr>
          <w:rFonts w:ascii="仿宋" w:eastAsia="仿宋"/>
          <w:color w:val="auto"/>
        </w:rPr>
      </w:pPr>
    </w:p>
    <w:p>
      <w:pPr>
        <w:pStyle w:val="24"/>
        <w:tabs>
          <w:tab w:val="right" w:leader="dot" w:pos="8957"/>
        </w:tabs>
      </w:pPr>
      <w:r>
        <w:rPr>
          <w:rFonts w:ascii="仿宋" w:eastAsia="仿宋"/>
          <w:b/>
          <w:color w:val="auto"/>
          <w:sz w:val="32"/>
          <w:szCs w:val="32"/>
        </w:rPr>
        <w:fldChar w:fldCharType="begin"/>
      </w:r>
      <w:r>
        <w:rPr>
          <w:rFonts w:ascii="仿宋" w:eastAsia="仿宋"/>
          <w:b/>
          <w:color w:val="auto"/>
          <w:sz w:val="32"/>
          <w:szCs w:val="32"/>
        </w:rPr>
        <w:instrText xml:space="preserve"> </w:instrText>
      </w:r>
      <w:r>
        <w:rPr>
          <w:rFonts w:hint="eastAsia" w:ascii="仿宋" w:eastAsia="仿宋"/>
          <w:b/>
          <w:color w:val="auto"/>
          <w:sz w:val="32"/>
          <w:szCs w:val="32"/>
        </w:rPr>
        <w:instrText xml:space="preserve">TOC \o "1-1" \h \z \u</w:instrText>
      </w:r>
      <w:r>
        <w:rPr>
          <w:rFonts w:ascii="仿宋" w:eastAsia="仿宋"/>
          <w:b/>
          <w:color w:val="auto"/>
          <w:sz w:val="32"/>
          <w:szCs w:val="32"/>
        </w:rPr>
        <w:instrText xml:space="preserve"> </w:instrText>
      </w:r>
      <w:r>
        <w:rPr>
          <w:rFonts w:ascii="仿宋" w:eastAsia="仿宋"/>
          <w:b/>
          <w:color w:val="auto"/>
          <w:sz w:val="32"/>
          <w:szCs w:val="32"/>
        </w:rPr>
        <w:fldChar w:fldCharType="separate"/>
      </w:r>
      <w:r>
        <w:rPr>
          <w:rFonts w:ascii="仿宋" w:eastAsia="仿宋"/>
          <w:color w:val="auto"/>
          <w:szCs w:val="32"/>
        </w:rPr>
        <w:fldChar w:fldCharType="begin"/>
      </w:r>
      <w:r>
        <w:rPr>
          <w:rFonts w:ascii="仿宋" w:eastAsia="仿宋"/>
          <w:szCs w:val="32"/>
        </w:rPr>
        <w:instrText xml:space="preserve"> HYPERLINK \l _Toc20385 </w:instrText>
      </w:r>
      <w:r>
        <w:rPr>
          <w:rFonts w:ascii="仿宋" w:eastAsia="仿宋"/>
          <w:szCs w:val="32"/>
        </w:rPr>
        <w:fldChar w:fldCharType="separate"/>
      </w:r>
      <w:r>
        <w:rPr>
          <w:rFonts w:hint="eastAsia" w:ascii="方正小标宋简体" w:hAnsi="方正小标宋简体" w:eastAsia="方正小标宋简体" w:cs="方正小标宋简体"/>
          <w:kern w:val="2"/>
          <w:szCs w:val="32"/>
        </w:rPr>
        <w:t>第一章 比选公告</w:t>
      </w:r>
      <w:r>
        <w:tab/>
      </w:r>
      <w:r>
        <w:fldChar w:fldCharType="begin"/>
      </w:r>
      <w:r>
        <w:instrText xml:space="preserve"> PAGEREF _Toc20385 \h </w:instrText>
      </w:r>
      <w:r>
        <w:fldChar w:fldCharType="separate"/>
      </w:r>
      <w:r>
        <w:t>4</w:t>
      </w:r>
      <w:r>
        <w:fldChar w:fldCharType="end"/>
      </w:r>
      <w:r>
        <w:rPr>
          <w:rFonts w:ascii="仿宋" w:eastAsia="仿宋"/>
          <w:color w:val="auto"/>
          <w:szCs w:val="32"/>
        </w:rPr>
        <w:fldChar w:fldCharType="end"/>
      </w:r>
    </w:p>
    <w:p>
      <w:pPr>
        <w:pStyle w:val="24"/>
        <w:tabs>
          <w:tab w:val="right" w:leader="dot" w:pos="8957"/>
        </w:tabs>
      </w:pPr>
      <w:r>
        <w:rPr>
          <w:rFonts w:ascii="仿宋" w:eastAsia="仿宋"/>
          <w:color w:val="auto"/>
          <w:szCs w:val="32"/>
        </w:rPr>
        <w:fldChar w:fldCharType="begin"/>
      </w:r>
      <w:r>
        <w:rPr>
          <w:rFonts w:ascii="仿宋" w:eastAsia="仿宋"/>
          <w:szCs w:val="32"/>
        </w:rPr>
        <w:instrText xml:space="preserve"> HYPERLINK \l _Toc27114 </w:instrText>
      </w:r>
      <w:r>
        <w:rPr>
          <w:rFonts w:ascii="仿宋" w:eastAsia="仿宋"/>
          <w:szCs w:val="32"/>
        </w:rPr>
        <w:fldChar w:fldCharType="separate"/>
      </w:r>
      <w:r>
        <w:rPr>
          <w:rFonts w:hint="eastAsia" w:ascii="方正小标宋简体" w:hAnsi="方正小标宋简体" w:eastAsia="方正小标宋简体" w:cs="方正小标宋简体"/>
          <w:kern w:val="2"/>
          <w:szCs w:val="32"/>
        </w:rPr>
        <w:t>第二章 比选须知</w:t>
      </w:r>
      <w:r>
        <w:tab/>
      </w:r>
      <w:r>
        <w:fldChar w:fldCharType="begin"/>
      </w:r>
      <w:r>
        <w:instrText xml:space="preserve"> PAGEREF _Toc27114 \h </w:instrText>
      </w:r>
      <w:r>
        <w:fldChar w:fldCharType="separate"/>
      </w:r>
      <w:r>
        <w:t>6</w:t>
      </w:r>
      <w:r>
        <w:fldChar w:fldCharType="end"/>
      </w:r>
      <w:r>
        <w:rPr>
          <w:rFonts w:ascii="仿宋" w:eastAsia="仿宋"/>
          <w:color w:val="auto"/>
          <w:szCs w:val="32"/>
        </w:rPr>
        <w:fldChar w:fldCharType="end"/>
      </w:r>
    </w:p>
    <w:p>
      <w:pPr>
        <w:pStyle w:val="24"/>
        <w:tabs>
          <w:tab w:val="right" w:leader="dot" w:pos="8957"/>
        </w:tabs>
      </w:pPr>
      <w:r>
        <w:rPr>
          <w:rFonts w:ascii="仿宋" w:eastAsia="仿宋"/>
          <w:color w:val="auto"/>
          <w:szCs w:val="32"/>
        </w:rPr>
        <w:fldChar w:fldCharType="begin"/>
      </w:r>
      <w:r>
        <w:rPr>
          <w:rFonts w:ascii="仿宋" w:eastAsia="仿宋"/>
          <w:szCs w:val="32"/>
        </w:rPr>
        <w:instrText xml:space="preserve"> HYPERLINK \l _Toc31107 </w:instrText>
      </w:r>
      <w:r>
        <w:rPr>
          <w:rFonts w:ascii="仿宋" w:eastAsia="仿宋"/>
          <w:szCs w:val="32"/>
        </w:rPr>
        <w:fldChar w:fldCharType="separate"/>
      </w:r>
      <w:r>
        <w:rPr>
          <w:rFonts w:hint="eastAsia" w:ascii="方正小标宋简体" w:hAnsi="方正小标宋简体" w:eastAsia="方正小标宋简体" w:cs="方正小标宋简体"/>
          <w:kern w:val="2"/>
          <w:szCs w:val="32"/>
        </w:rPr>
        <w:t>第三章 比选项目及要求</w:t>
      </w:r>
      <w:r>
        <w:tab/>
      </w:r>
      <w:r>
        <w:fldChar w:fldCharType="begin"/>
      </w:r>
      <w:r>
        <w:instrText xml:space="preserve"> PAGEREF _Toc31107 \h </w:instrText>
      </w:r>
      <w:r>
        <w:fldChar w:fldCharType="separate"/>
      </w:r>
      <w:r>
        <w:t>11</w:t>
      </w:r>
      <w:r>
        <w:fldChar w:fldCharType="end"/>
      </w:r>
      <w:r>
        <w:rPr>
          <w:rFonts w:ascii="仿宋" w:eastAsia="仿宋"/>
          <w:color w:val="auto"/>
          <w:szCs w:val="32"/>
        </w:rPr>
        <w:fldChar w:fldCharType="end"/>
      </w:r>
    </w:p>
    <w:p>
      <w:pPr>
        <w:pStyle w:val="24"/>
        <w:tabs>
          <w:tab w:val="right" w:leader="dot" w:pos="8957"/>
        </w:tabs>
      </w:pPr>
      <w:r>
        <w:rPr>
          <w:rFonts w:ascii="仿宋" w:eastAsia="仿宋"/>
          <w:color w:val="auto"/>
          <w:szCs w:val="32"/>
        </w:rPr>
        <w:fldChar w:fldCharType="begin"/>
      </w:r>
      <w:r>
        <w:rPr>
          <w:rFonts w:ascii="仿宋" w:eastAsia="仿宋"/>
          <w:szCs w:val="32"/>
        </w:rPr>
        <w:instrText xml:space="preserve"> HYPERLINK \l _Toc3850 </w:instrText>
      </w:r>
      <w:r>
        <w:rPr>
          <w:rFonts w:ascii="仿宋" w:eastAsia="仿宋"/>
          <w:szCs w:val="32"/>
        </w:rPr>
        <w:fldChar w:fldCharType="separate"/>
      </w:r>
      <w:r>
        <w:rPr>
          <w:rFonts w:hint="eastAsia" w:ascii="方正小标宋简体" w:hAnsi="方正小标宋简体" w:eastAsia="方正小标宋简体" w:cs="方正小标宋简体"/>
          <w:kern w:val="2"/>
          <w:szCs w:val="32"/>
        </w:rPr>
        <w:t>第四章 评审办法</w:t>
      </w:r>
      <w:r>
        <w:tab/>
      </w:r>
      <w:r>
        <w:fldChar w:fldCharType="begin"/>
      </w:r>
      <w:r>
        <w:instrText xml:space="preserve"> PAGEREF _Toc3850 \h </w:instrText>
      </w:r>
      <w:r>
        <w:fldChar w:fldCharType="separate"/>
      </w:r>
      <w:r>
        <w:t>15</w:t>
      </w:r>
      <w:r>
        <w:fldChar w:fldCharType="end"/>
      </w:r>
      <w:r>
        <w:rPr>
          <w:rFonts w:ascii="仿宋" w:eastAsia="仿宋"/>
          <w:color w:val="auto"/>
          <w:szCs w:val="32"/>
        </w:rPr>
        <w:fldChar w:fldCharType="end"/>
      </w:r>
    </w:p>
    <w:p>
      <w:pPr>
        <w:pStyle w:val="24"/>
        <w:tabs>
          <w:tab w:val="right" w:leader="dot" w:pos="8957"/>
        </w:tabs>
      </w:pPr>
      <w:r>
        <w:rPr>
          <w:rFonts w:ascii="仿宋" w:eastAsia="仿宋"/>
          <w:color w:val="auto"/>
          <w:szCs w:val="32"/>
        </w:rPr>
        <w:fldChar w:fldCharType="begin"/>
      </w:r>
      <w:r>
        <w:rPr>
          <w:rFonts w:ascii="仿宋" w:eastAsia="仿宋"/>
          <w:szCs w:val="32"/>
        </w:rPr>
        <w:instrText xml:space="preserve"> HYPERLINK \l _Toc8812 </w:instrText>
      </w:r>
      <w:r>
        <w:rPr>
          <w:rFonts w:ascii="仿宋" w:eastAsia="仿宋"/>
          <w:szCs w:val="32"/>
        </w:rPr>
        <w:fldChar w:fldCharType="separate"/>
      </w:r>
      <w:r>
        <w:rPr>
          <w:rFonts w:hint="eastAsia" w:ascii="方正小标宋简体" w:hAnsi="方正小标宋简体" w:eastAsia="方正小标宋简体" w:cs="方正小标宋简体"/>
          <w:kern w:val="2"/>
          <w:szCs w:val="32"/>
        </w:rPr>
        <w:t>第五章 合同主要条款</w:t>
      </w:r>
      <w:r>
        <w:tab/>
      </w:r>
      <w:r>
        <w:fldChar w:fldCharType="begin"/>
      </w:r>
      <w:r>
        <w:instrText xml:space="preserve"> PAGEREF _Toc8812 \h </w:instrText>
      </w:r>
      <w:r>
        <w:fldChar w:fldCharType="separate"/>
      </w:r>
      <w:r>
        <w:t>21</w:t>
      </w:r>
      <w:r>
        <w:fldChar w:fldCharType="end"/>
      </w:r>
      <w:r>
        <w:rPr>
          <w:rFonts w:ascii="仿宋" w:eastAsia="仿宋"/>
          <w:color w:val="auto"/>
          <w:szCs w:val="32"/>
        </w:rPr>
        <w:fldChar w:fldCharType="end"/>
      </w:r>
    </w:p>
    <w:p>
      <w:pPr>
        <w:pStyle w:val="24"/>
        <w:tabs>
          <w:tab w:val="right" w:leader="dot" w:pos="8957"/>
        </w:tabs>
      </w:pPr>
      <w:r>
        <w:rPr>
          <w:rFonts w:ascii="仿宋" w:eastAsia="仿宋"/>
          <w:color w:val="auto"/>
          <w:szCs w:val="32"/>
        </w:rPr>
        <w:fldChar w:fldCharType="begin"/>
      </w:r>
      <w:r>
        <w:rPr>
          <w:rFonts w:ascii="仿宋" w:eastAsia="仿宋"/>
          <w:szCs w:val="32"/>
        </w:rPr>
        <w:instrText xml:space="preserve"> HYPERLINK \l _Toc18837 </w:instrText>
      </w:r>
      <w:r>
        <w:rPr>
          <w:rFonts w:ascii="仿宋" w:eastAsia="仿宋"/>
          <w:szCs w:val="32"/>
        </w:rPr>
        <w:fldChar w:fldCharType="separate"/>
      </w:r>
      <w:r>
        <w:rPr>
          <w:rFonts w:hint="eastAsia" w:ascii="方正小标宋简体" w:hAnsi="方正小标宋简体" w:eastAsia="方正小标宋简体" w:cs="方正小标宋简体"/>
          <w:kern w:val="2"/>
          <w:szCs w:val="32"/>
        </w:rPr>
        <w:t>第六章 比选申请文件格式</w:t>
      </w:r>
      <w:r>
        <w:tab/>
      </w:r>
      <w:r>
        <w:fldChar w:fldCharType="begin"/>
      </w:r>
      <w:r>
        <w:instrText xml:space="preserve"> PAGEREF _Toc18837 \h </w:instrText>
      </w:r>
      <w:r>
        <w:fldChar w:fldCharType="separate"/>
      </w:r>
      <w:r>
        <w:t>26</w:t>
      </w:r>
      <w:r>
        <w:fldChar w:fldCharType="end"/>
      </w:r>
      <w:r>
        <w:rPr>
          <w:rFonts w:ascii="仿宋" w:eastAsia="仿宋"/>
          <w:color w:val="auto"/>
          <w:szCs w:val="32"/>
        </w:rPr>
        <w:fldChar w:fldCharType="end"/>
      </w:r>
    </w:p>
    <w:p>
      <w:pPr>
        <w:spacing w:line="480" w:lineRule="auto"/>
        <w:rPr>
          <w:rFonts w:ascii="仿宋" w:eastAsia="仿宋"/>
          <w:color w:val="auto"/>
        </w:rPr>
      </w:pPr>
      <w:r>
        <w:rPr>
          <w:rFonts w:ascii="仿宋" w:eastAsia="仿宋"/>
          <w:color w:val="auto"/>
          <w:szCs w:val="32"/>
        </w:rPr>
        <w:fldChar w:fldCharType="end"/>
      </w:r>
    </w:p>
    <w:p>
      <w:pPr>
        <w:rPr>
          <w:rFonts w:ascii="仿宋" w:eastAsia="仿宋"/>
          <w:color w:val="auto"/>
        </w:rPr>
      </w:pPr>
    </w:p>
    <w:p>
      <w:pPr>
        <w:rPr>
          <w:rFonts w:ascii="仿宋" w:eastAsia="仿宋"/>
          <w:color w:val="auto"/>
        </w:rPr>
      </w:pPr>
    </w:p>
    <w:p>
      <w:pPr>
        <w:rPr>
          <w:rFonts w:ascii="仿宋" w:eastAsia="仿宋"/>
          <w:color w:val="auto"/>
        </w:rPr>
      </w:pPr>
    </w:p>
    <w:p>
      <w:pPr>
        <w:rPr>
          <w:rFonts w:ascii="仿宋" w:eastAsia="仿宋"/>
          <w:color w:val="auto"/>
        </w:rPr>
      </w:pPr>
    </w:p>
    <w:p>
      <w:pPr>
        <w:rPr>
          <w:rFonts w:ascii="仿宋" w:eastAsia="仿宋"/>
          <w:color w:val="auto"/>
        </w:rPr>
      </w:pPr>
    </w:p>
    <w:p>
      <w:pPr>
        <w:rPr>
          <w:rFonts w:ascii="仿宋" w:eastAsia="仿宋"/>
          <w:color w:val="auto"/>
        </w:rPr>
      </w:pPr>
    </w:p>
    <w:p>
      <w:pPr>
        <w:rPr>
          <w:rFonts w:ascii="仿宋" w:eastAsia="仿宋"/>
          <w:color w:val="auto"/>
        </w:rPr>
      </w:pPr>
    </w:p>
    <w:p>
      <w:pPr>
        <w:rPr>
          <w:rFonts w:ascii="仿宋" w:eastAsia="仿宋"/>
          <w:color w:val="auto"/>
        </w:rPr>
      </w:pPr>
      <w:r>
        <w:rPr>
          <w:rFonts w:hint="eastAsia" w:ascii="仿宋" w:eastAsia="仿宋"/>
          <w:color w:val="auto"/>
        </w:rPr>
        <w:br w:type="page"/>
      </w:r>
    </w:p>
    <w:bookmarkEnd w:id="2"/>
    <w:bookmarkEnd w:id="3"/>
    <w:p>
      <w:pPr>
        <w:numPr>
          <w:ilvl w:val="0"/>
          <w:numId w:val="3"/>
        </w:numPr>
        <w:spacing w:line="560" w:lineRule="exact"/>
        <w:ind w:firstLine="0"/>
        <w:jc w:val="center"/>
        <w:outlineLvl w:val="0"/>
        <w:rPr>
          <w:rFonts w:ascii="方正小标宋简体" w:hAnsi="方正小标宋简体" w:eastAsia="方正小标宋简体" w:cs="方正小标宋简体"/>
          <w:color w:val="auto"/>
          <w:kern w:val="2"/>
          <w:sz w:val="32"/>
          <w:szCs w:val="32"/>
        </w:rPr>
      </w:pPr>
      <w:bookmarkStart w:id="5" w:name="_Toc20385"/>
      <w:bookmarkStart w:id="6" w:name="_Toc26620"/>
      <w:r>
        <w:rPr>
          <w:rFonts w:hint="eastAsia" w:ascii="方正小标宋简体" w:hAnsi="方正小标宋简体" w:eastAsia="方正小标宋简体" w:cs="方正小标宋简体"/>
          <w:color w:val="auto"/>
          <w:kern w:val="2"/>
          <w:sz w:val="32"/>
          <w:szCs w:val="32"/>
        </w:rPr>
        <w:t>比选公告</w:t>
      </w:r>
      <w:bookmarkEnd w:id="5"/>
      <w:bookmarkEnd w:id="6"/>
    </w:p>
    <w:p>
      <w:pPr>
        <w:pStyle w:val="8"/>
        <w:spacing w:line="560" w:lineRule="exact"/>
        <w:ind w:firstLine="680"/>
        <w:rPr>
          <w:rFonts w:ascii="Times New Roman" w:eastAsia="仿宋"/>
          <w:color w:val="auto"/>
        </w:rPr>
      </w:pPr>
    </w:p>
    <w:p>
      <w:pPr>
        <w:spacing w:line="560" w:lineRule="exact"/>
        <w:ind w:firstLine="480" w:firstLineChars="200"/>
        <w:rPr>
          <w:rFonts w:ascii="Times New Roman" w:eastAsia="仿宋"/>
          <w:b/>
          <w:color w:val="auto"/>
          <w:sz w:val="24"/>
          <w:szCs w:val="24"/>
        </w:rPr>
      </w:pPr>
      <w:r>
        <w:rPr>
          <w:rFonts w:ascii="Times New Roman" w:eastAsia="仿宋"/>
          <w:color w:val="auto"/>
          <w:sz w:val="24"/>
          <w:szCs w:val="24"/>
        </w:rPr>
        <w:t>四川蜀物兴川物流发展有限公司（以下简称“比选人”）拟对</w:t>
      </w:r>
      <w:r>
        <w:rPr>
          <w:rFonts w:ascii="Times New Roman" w:eastAsia="仿宋"/>
          <w:b/>
          <w:color w:val="auto"/>
          <w:sz w:val="24"/>
          <w:szCs w:val="24"/>
          <w:u w:val="single"/>
        </w:rPr>
        <w:t>某公司港口作业纠纷案件诉讼及过程法律服务采购项目</w:t>
      </w:r>
      <w:r>
        <w:rPr>
          <w:rFonts w:ascii="Times New Roman" w:eastAsia="仿宋"/>
          <w:color w:val="auto"/>
          <w:sz w:val="24"/>
          <w:szCs w:val="24"/>
        </w:rPr>
        <w:t xml:space="preserve">进行国内公开比选，兹邀请符合本次比选要求的单位参加比选。 </w:t>
      </w:r>
    </w:p>
    <w:p>
      <w:pPr>
        <w:numPr>
          <w:ilvl w:val="0"/>
          <w:numId w:val="4"/>
        </w:numPr>
        <w:spacing w:line="560" w:lineRule="exact"/>
        <w:ind w:firstLine="480" w:firstLineChars="200"/>
        <w:rPr>
          <w:rFonts w:ascii="Times New Roman" w:eastAsia="仿宋_GB2312"/>
          <w:bCs/>
          <w:color w:val="auto"/>
          <w:kern w:val="2"/>
          <w:sz w:val="24"/>
          <w:szCs w:val="24"/>
        </w:rPr>
      </w:pPr>
      <w:r>
        <w:rPr>
          <w:rFonts w:ascii="Times New Roman" w:eastAsia="黑体"/>
          <w:bCs/>
          <w:color w:val="auto"/>
          <w:kern w:val="2"/>
          <w:sz w:val="24"/>
          <w:szCs w:val="24"/>
        </w:rPr>
        <w:t>项目名称：</w:t>
      </w:r>
      <w:r>
        <w:rPr>
          <w:rFonts w:ascii="Times New Roman" w:eastAsia="仿宋_GB2312"/>
          <w:bCs/>
          <w:color w:val="auto"/>
          <w:kern w:val="2"/>
          <w:sz w:val="24"/>
          <w:szCs w:val="24"/>
        </w:rPr>
        <w:t>某公司港口作业纠纷案件诉讼及过程法律服务采购项目</w:t>
      </w:r>
    </w:p>
    <w:p>
      <w:pPr>
        <w:numPr>
          <w:ilvl w:val="0"/>
          <w:numId w:val="4"/>
        </w:numPr>
        <w:spacing w:line="560" w:lineRule="exact"/>
        <w:ind w:firstLine="480" w:firstLineChars="200"/>
        <w:rPr>
          <w:rFonts w:ascii="Times New Roman" w:eastAsia="仿宋_GB2312"/>
          <w:bCs/>
          <w:color w:val="auto"/>
          <w:kern w:val="2"/>
          <w:sz w:val="24"/>
          <w:szCs w:val="24"/>
        </w:rPr>
      </w:pPr>
      <w:r>
        <w:rPr>
          <w:rFonts w:ascii="Times New Roman" w:eastAsia="黑体"/>
          <w:bCs/>
          <w:color w:val="auto"/>
          <w:kern w:val="2"/>
          <w:sz w:val="24"/>
          <w:szCs w:val="24"/>
        </w:rPr>
        <w:t>资金来源：</w:t>
      </w:r>
      <w:r>
        <w:rPr>
          <w:rFonts w:ascii="Times New Roman" w:eastAsia="仿宋_GB2312"/>
          <w:color w:val="auto"/>
          <w:sz w:val="24"/>
        </w:rPr>
        <w:t>自筹资金100%</w:t>
      </w:r>
    </w:p>
    <w:p>
      <w:pPr>
        <w:numPr>
          <w:ilvl w:val="0"/>
          <w:numId w:val="4"/>
        </w:numPr>
        <w:spacing w:line="560" w:lineRule="exact"/>
        <w:ind w:firstLine="480" w:firstLineChars="200"/>
        <w:rPr>
          <w:rFonts w:ascii="Times New Roman" w:eastAsia="仿宋"/>
          <w:color w:val="auto"/>
          <w:sz w:val="24"/>
          <w:szCs w:val="24"/>
        </w:rPr>
      </w:pPr>
      <w:r>
        <w:rPr>
          <w:rFonts w:ascii="Times New Roman" w:eastAsia="黑体"/>
          <w:bCs/>
          <w:color w:val="auto"/>
          <w:kern w:val="2"/>
          <w:sz w:val="24"/>
          <w:szCs w:val="24"/>
        </w:rPr>
        <w:t>项目简介：</w:t>
      </w:r>
      <w:bookmarkStart w:id="7" w:name="PO_默认文件内容_3"/>
      <w:bookmarkStart w:id="8" w:name="PO_默认文件内容_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ascii="Times New Roman" w:eastAsia="仿宋_GB2312"/>
          <w:color w:val="auto"/>
          <w:sz w:val="24"/>
        </w:rPr>
      </w:pPr>
      <w:r>
        <w:rPr>
          <w:rFonts w:ascii="Times New Roman" w:eastAsia="仿宋_GB2312"/>
          <w:color w:val="auto"/>
          <w:sz w:val="24"/>
        </w:rPr>
        <w:t>本项目共计1个标包，</w:t>
      </w:r>
      <w:r>
        <w:rPr>
          <w:rFonts w:hint="eastAsia" w:ascii="Times New Roman" w:eastAsia="仿宋_GB2312"/>
          <w:color w:val="auto"/>
          <w:sz w:val="24"/>
          <w:lang w:val="en-US" w:eastAsia="zh-CN"/>
        </w:rPr>
        <w:t>系比选人委托比选申请人代理本案（</w:t>
      </w:r>
      <w:r>
        <w:rPr>
          <w:rFonts w:ascii="Times New Roman" w:eastAsia="仿宋_GB2312"/>
          <w:color w:val="auto"/>
          <w:sz w:val="24"/>
        </w:rPr>
        <w:t>具体详见比选文件第三章</w:t>
      </w:r>
      <w:r>
        <w:rPr>
          <w:rFonts w:hint="eastAsia" w:ascii="Times New Roman" w:eastAsia="仿宋_GB2312"/>
          <w:color w:val="auto"/>
          <w:sz w:val="24"/>
          <w:lang w:val="en-US" w:eastAsia="zh-CN"/>
        </w:rPr>
        <w:t>）</w:t>
      </w:r>
      <w:r>
        <w:rPr>
          <w:rFonts w:hint="eastAsia" w:ascii="Times New Roman" w:eastAsia="仿宋_GB2312"/>
          <w:color w:val="auto"/>
          <w:sz w:val="24"/>
        </w:rPr>
        <w:t>发回重审的一审、二审（如有）、执行（如有）</w:t>
      </w:r>
      <w:r>
        <w:rPr>
          <w:rFonts w:hint="eastAsia" w:ascii="Times New Roman" w:eastAsia="仿宋_GB2312"/>
          <w:color w:val="auto"/>
          <w:sz w:val="24"/>
          <w:lang w:val="en-US" w:eastAsia="zh-CN"/>
        </w:rPr>
        <w:t>等有关事宜</w:t>
      </w:r>
      <w:r>
        <w:rPr>
          <w:rFonts w:ascii="Times New Roman" w:eastAsia="仿宋_GB2312"/>
          <w:color w:val="auto"/>
          <w:sz w:val="24"/>
        </w:rPr>
        <w:t>。</w:t>
      </w:r>
      <w:bookmarkEnd w:id="7"/>
    </w:p>
    <w:bookmarkEnd w:id="8"/>
    <w:p>
      <w:pPr>
        <w:numPr>
          <w:ilvl w:val="0"/>
          <w:numId w:val="4"/>
        </w:numPr>
        <w:spacing w:line="560" w:lineRule="exact"/>
        <w:ind w:firstLine="480" w:firstLineChars="200"/>
        <w:rPr>
          <w:rFonts w:ascii="Times New Roman" w:eastAsia="黑体"/>
          <w:bCs/>
          <w:color w:val="auto"/>
          <w:kern w:val="2"/>
          <w:sz w:val="24"/>
          <w:szCs w:val="24"/>
        </w:rPr>
      </w:pPr>
      <w:r>
        <w:rPr>
          <w:rFonts w:ascii="Times New Roman" w:eastAsia="黑体"/>
          <w:bCs/>
          <w:color w:val="auto"/>
          <w:kern w:val="2"/>
          <w:sz w:val="24"/>
          <w:szCs w:val="24"/>
        </w:rPr>
        <w:t xml:space="preserve">比选申请人应具备的资格条件： </w:t>
      </w:r>
    </w:p>
    <w:p>
      <w:pPr>
        <w:numPr>
          <w:ilvl w:val="0"/>
          <w:numId w:val="5"/>
        </w:numPr>
        <w:spacing w:line="560" w:lineRule="exact"/>
        <w:ind w:firstLine="480" w:firstLineChars="200"/>
        <w:rPr>
          <w:rFonts w:ascii="Times New Roman" w:eastAsia="仿宋_GB2312"/>
          <w:color w:val="auto"/>
          <w:sz w:val="24"/>
        </w:rPr>
      </w:pPr>
      <w:bookmarkStart w:id="9" w:name="PO_供应商资格条件_1"/>
      <w:r>
        <w:rPr>
          <w:rFonts w:ascii="Times New Roman" w:eastAsia="仿宋_GB2312"/>
          <w:color w:val="auto"/>
          <w:sz w:val="24"/>
        </w:rPr>
        <w:t>资质要求：依法在中华人民共和国境内设立</w:t>
      </w:r>
      <w:r>
        <w:rPr>
          <w:rFonts w:hint="eastAsia" w:ascii="Times New Roman" w:eastAsia="仿宋_GB2312"/>
          <w:color w:val="auto"/>
          <w:sz w:val="24"/>
        </w:rPr>
        <w:t>5</w:t>
      </w:r>
      <w:r>
        <w:rPr>
          <w:rFonts w:ascii="Times New Roman" w:eastAsia="仿宋_GB2312"/>
          <w:color w:val="auto"/>
          <w:sz w:val="24"/>
        </w:rPr>
        <w:t>年以上的律师事务所，持有合法有效律师事务所执业许可证，以及国家法律法规要求的相关从业资质（提供年检合格的律师事务所执业许可证复印件）；如分所或分支机构参加比选的，分所或分支机构须获得总所唯一授权，须提供总所的业务许可证复印件（可以一次授权或总体授权，同一个事务所的多家分支机构不可同时参加比选）；</w:t>
      </w:r>
    </w:p>
    <w:p>
      <w:pPr>
        <w:numPr>
          <w:ilvl w:val="0"/>
          <w:numId w:val="5"/>
        </w:numPr>
        <w:spacing w:line="560" w:lineRule="exact"/>
        <w:ind w:firstLine="480" w:firstLineChars="200"/>
        <w:rPr>
          <w:rFonts w:ascii="Times New Roman" w:eastAsia="仿宋_GB2312"/>
          <w:color w:val="auto"/>
          <w:sz w:val="24"/>
        </w:rPr>
      </w:pPr>
      <w:r>
        <w:rPr>
          <w:rFonts w:ascii="Times New Roman" w:eastAsia="仿宋_GB2312"/>
          <w:color w:val="auto"/>
          <w:sz w:val="24"/>
        </w:rPr>
        <w:t>人员要求：机构应拥有</w:t>
      </w:r>
      <w:r>
        <w:rPr>
          <w:rFonts w:hint="eastAsia" w:ascii="Times New Roman" w:eastAsia="仿宋_GB2312"/>
          <w:color w:val="auto"/>
          <w:sz w:val="24"/>
        </w:rPr>
        <w:t>30</w:t>
      </w:r>
      <w:r>
        <w:rPr>
          <w:rFonts w:ascii="Times New Roman" w:eastAsia="仿宋_GB2312"/>
          <w:color w:val="auto"/>
          <w:sz w:val="24"/>
        </w:rPr>
        <w:t>名以上的注册专职律师（提供证明文件）；能够组建相对固定且不少于2人的律师顾问团队（不含实习律师、律师助理），拟任的项目负责律师具有10年及以上执业经验；团队其他律师应具有司法行政主管部门颁发的《律师执业证》，合法有效且年检合格；</w:t>
      </w:r>
    </w:p>
    <w:p>
      <w:pPr>
        <w:numPr>
          <w:ilvl w:val="0"/>
          <w:numId w:val="5"/>
        </w:numPr>
        <w:spacing w:line="560" w:lineRule="exact"/>
        <w:ind w:firstLine="480" w:firstLineChars="200"/>
        <w:rPr>
          <w:rFonts w:ascii="Times New Roman" w:eastAsia="仿宋_GB2312"/>
          <w:color w:val="auto"/>
          <w:sz w:val="24"/>
        </w:rPr>
      </w:pPr>
      <w:r>
        <w:rPr>
          <w:rFonts w:ascii="Times New Roman" w:eastAsia="仿宋_GB2312"/>
          <w:color w:val="auto"/>
          <w:sz w:val="24"/>
        </w:rPr>
        <w:t>信誉要求：比选申请人</w:t>
      </w:r>
      <w:r>
        <w:rPr>
          <w:rFonts w:ascii="Times New Roman" w:eastAsia="仿宋_GB2312"/>
          <w:color w:val="auto"/>
          <w:sz w:val="24"/>
          <w:szCs w:val="24"/>
          <w:lang w:val="zh-CN"/>
        </w:rPr>
        <w:t>在</w:t>
      </w:r>
      <w:r>
        <w:rPr>
          <w:rFonts w:ascii="Times New Roman" w:eastAsia="仿宋_GB2312"/>
          <w:color w:val="auto"/>
          <w:sz w:val="24"/>
          <w:szCs w:val="24"/>
        </w:rPr>
        <w:t>比选</w:t>
      </w:r>
      <w:r>
        <w:rPr>
          <w:rFonts w:ascii="Times New Roman" w:eastAsia="仿宋_GB2312"/>
          <w:color w:val="auto"/>
          <w:sz w:val="24"/>
          <w:szCs w:val="24"/>
          <w:lang w:val="zh-CN"/>
        </w:rPr>
        <w:t>日前</w:t>
      </w:r>
      <w:r>
        <w:rPr>
          <w:rFonts w:ascii="Times New Roman" w:eastAsia="仿宋_GB2312"/>
          <w:color w:val="auto"/>
          <w:sz w:val="24"/>
          <w:szCs w:val="24"/>
        </w:rPr>
        <w:t>三年，未被“</w:t>
      </w:r>
      <w:r>
        <w:rPr>
          <w:rFonts w:ascii="Times New Roman" w:eastAsia="仿宋_GB2312"/>
          <w:color w:val="auto"/>
          <w:sz w:val="24"/>
          <w:szCs w:val="24"/>
          <w:lang w:val="zh-CN"/>
        </w:rPr>
        <w:t>信用中国</w:t>
      </w:r>
      <w:r>
        <w:rPr>
          <w:rFonts w:ascii="Times New Roman" w:eastAsia="仿宋_GB2312"/>
          <w:color w:val="auto"/>
          <w:sz w:val="24"/>
          <w:szCs w:val="24"/>
        </w:rPr>
        <w:t>”</w:t>
      </w:r>
      <w:r>
        <w:rPr>
          <w:rFonts w:ascii="Times New Roman" w:eastAsia="仿宋_GB2312"/>
          <w:color w:val="auto"/>
          <w:sz w:val="24"/>
          <w:szCs w:val="24"/>
          <w:lang w:val="zh-CN"/>
        </w:rPr>
        <w:t>网站</w:t>
      </w:r>
      <w:r>
        <w:rPr>
          <w:rFonts w:ascii="Times New Roman" w:eastAsia="仿宋_GB2312"/>
          <w:color w:val="auto"/>
          <w:sz w:val="24"/>
          <w:szCs w:val="24"/>
        </w:rPr>
        <w:t>（www.creditchina.gov.cn）</w:t>
      </w:r>
      <w:r>
        <w:rPr>
          <w:rFonts w:ascii="Times New Roman" w:eastAsia="仿宋_GB2312"/>
          <w:color w:val="auto"/>
          <w:sz w:val="24"/>
          <w:szCs w:val="24"/>
          <w:lang w:val="zh-CN"/>
        </w:rPr>
        <w:t>、</w:t>
      </w:r>
      <w:r>
        <w:rPr>
          <w:rFonts w:ascii="Times New Roman" w:eastAsia="仿宋_GB2312"/>
          <w:color w:val="auto"/>
          <w:sz w:val="24"/>
          <w:szCs w:val="24"/>
        </w:rPr>
        <w:t>“</w:t>
      </w:r>
      <w:r>
        <w:rPr>
          <w:rFonts w:ascii="Times New Roman" w:eastAsia="仿宋_GB2312"/>
          <w:color w:val="auto"/>
          <w:sz w:val="24"/>
          <w:szCs w:val="24"/>
          <w:lang w:val="zh-CN"/>
        </w:rPr>
        <w:t>中国政府采购网</w:t>
      </w:r>
      <w:r>
        <w:rPr>
          <w:rFonts w:ascii="Times New Roman" w:eastAsia="仿宋_GB2312"/>
          <w:color w:val="auto"/>
          <w:sz w:val="24"/>
          <w:szCs w:val="24"/>
        </w:rPr>
        <w:t>”</w:t>
      </w:r>
      <w:r>
        <w:rPr>
          <w:rFonts w:ascii="Times New Roman" w:eastAsia="仿宋_GB2312"/>
          <w:color w:val="auto"/>
          <w:sz w:val="24"/>
          <w:szCs w:val="24"/>
          <w:lang w:val="zh-CN"/>
        </w:rPr>
        <w:t>网站</w:t>
      </w:r>
      <w:r>
        <w:rPr>
          <w:rFonts w:ascii="Times New Roman" w:eastAsia="仿宋_GB2312"/>
          <w:color w:val="auto"/>
          <w:sz w:val="24"/>
          <w:szCs w:val="24"/>
        </w:rPr>
        <w:t>（www.ccgp.gov.cn）</w:t>
      </w:r>
      <w:r>
        <w:rPr>
          <w:rFonts w:ascii="Times New Roman" w:eastAsia="仿宋_GB2312"/>
          <w:color w:val="auto"/>
          <w:sz w:val="24"/>
          <w:szCs w:val="24"/>
          <w:lang w:val="zh-CN"/>
        </w:rPr>
        <w:t>列入失信被执行人名单、政府采购严重违法失信行为记录名单</w:t>
      </w:r>
      <w:r>
        <w:rPr>
          <w:rFonts w:ascii="Times New Roman" w:eastAsia="仿宋_GB2312"/>
          <w:color w:val="auto"/>
          <w:sz w:val="24"/>
          <w:szCs w:val="24"/>
        </w:rPr>
        <w:t>，提供</w:t>
      </w:r>
      <w:r>
        <w:rPr>
          <w:rFonts w:ascii="Times New Roman" w:eastAsia="仿宋_GB2312"/>
          <w:color w:val="auto"/>
          <w:sz w:val="24"/>
          <w:szCs w:val="24"/>
          <w:lang w:val="zh-CN"/>
        </w:rPr>
        <w:t>信用记录结果网页截图</w:t>
      </w:r>
      <w:r>
        <w:rPr>
          <w:rFonts w:ascii="Times New Roman" w:eastAsia="仿宋_GB2312"/>
          <w:color w:val="auto"/>
          <w:sz w:val="24"/>
        </w:rPr>
        <w:t>；</w:t>
      </w:r>
    </w:p>
    <w:p>
      <w:pPr>
        <w:numPr>
          <w:ilvl w:val="0"/>
          <w:numId w:val="5"/>
        </w:numPr>
        <w:spacing w:line="560" w:lineRule="exact"/>
        <w:ind w:firstLine="480" w:firstLineChars="200"/>
        <w:rPr>
          <w:rFonts w:ascii="Times New Roman" w:eastAsia="仿宋_GB2312"/>
          <w:color w:val="auto"/>
          <w:sz w:val="24"/>
        </w:rPr>
      </w:pPr>
      <w:r>
        <w:rPr>
          <w:rFonts w:ascii="Times New Roman" w:eastAsia="仿宋_GB2312"/>
          <w:color w:val="auto"/>
          <w:sz w:val="24"/>
        </w:rPr>
        <w:t>财务要求：财务状况良好，近1年无亏损（提供最近年度经审计后年度财务审计报告）；</w:t>
      </w:r>
    </w:p>
    <w:p>
      <w:pPr>
        <w:numPr>
          <w:ilvl w:val="0"/>
          <w:numId w:val="5"/>
        </w:numPr>
        <w:spacing w:line="560" w:lineRule="exact"/>
        <w:ind w:firstLine="480" w:firstLineChars="200"/>
        <w:rPr>
          <w:rFonts w:ascii="Times New Roman" w:eastAsia="仿宋_GB2312"/>
          <w:color w:val="auto"/>
          <w:sz w:val="24"/>
          <w:szCs w:val="24"/>
        </w:rPr>
      </w:pPr>
      <w:r>
        <w:rPr>
          <w:rFonts w:ascii="Times New Roman" w:eastAsia="仿宋_GB2312"/>
          <w:color w:val="auto"/>
          <w:sz w:val="24"/>
        </w:rPr>
        <w:t>本项目不接受联合体参加比选。</w:t>
      </w:r>
    </w:p>
    <w:bookmarkEnd w:id="9"/>
    <w:p>
      <w:pPr>
        <w:numPr>
          <w:ilvl w:val="0"/>
          <w:numId w:val="4"/>
        </w:numPr>
        <w:spacing w:line="560" w:lineRule="exact"/>
        <w:ind w:firstLine="480" w:firstLineChars="200"/>
        <w:rPr>
          <w:rFonts w:ascii="Times New Roman" w:eastAsia="黑体"/>
          <w:bCs/>
          <w:color w:val="auto"/>
          <w:kern w:val="2"/>
          <w:sz w:val="24"/>
          <w:szCs w:val="24"/>
          <w:lang w:val="zh-CN"/>
        </w:rPr>
      </w:pPr>
      <w:bookmarkStart w:id="10" w:name="_Toc213496267"/>
      <w:bookmarkStart w:id="11" w:name="_Toc213397009"/>
      <w:bookmarkStart w:id="12" w:name="_Toc217446031"/>
      <w:bookmarkStart w:id="13" w:name="_Toc213396759"/>
      <w:bookmarkStart w:id="14" w:name="_Toc213396945"/>
      <w:bookmarkStart w:id="15" w:name="_Toc77400776"/>
      <w:bookmarkStart w:id="16" w:name="_Toc183582202"/>
      <w:bookmarkStart w:id="17" w:name="_Toc89075871"/>
      <w:bookmarkStart w:id="18" w:name="_Toc183682339"/>
      <w:r>
        <w:rPr>
          <w:rFonts w:ascii="Times New Roman" w:eastAsia="黑体"/>
          <w:bCs/>
          <w:color w:val="auto"/>
          <w:kern w:val="2"/>
          <w:sz w:val="24"/>
          <w:szCs w:val="24"/>
        </w:rPr>
        <w:t>比选</w:t>
      </w:r>
      <w:r>
        <w:rPr>
          <w:rFonts w:ascii="Times New Roman" w:eastAsia="黑体"/>
          <w:bCs/>
          <w:color w:val="auto"/>
          <w:kern w:val="2"/>
          <w:sz w:val="24"/>
          <w:szCs w:val="24"/>
          <w:lang w:val="zh-CN"/>
        </w:rPr>
        <w:t>文件的获取</w:t>
      </w:r>
    </w:p>
    <w:p>
      <w:pPr>
        <w:spacing w:line="560" w:lineRule="exact"/>
        <w:ind w:firstLine="480" w:firstLineChars="200"/>
        <w:rPr>
          <w:rFonts w:ascii="Times New Roman" w:eastAsia="仿宋_GB2312"/>
          <w:color w:val="auto"/>
          <w:sz w:val="24"/>
        </w:rPr>
      </w:pPr>
      <w:r>
        <w:rPr>
          <w:rFonts w:ascii="Times New Roman" w:eastAsia="仿宋_GB2312"/>
          <w:bCs/>
          <w:color w:val="auto"/>
          <w:sz w:val="24"/>
        </w:rPr>
        <w:t>（一）获取</w:t>
      </w:r>
      <w:r>
        <w:rPr>
          <w:rFonts w:ascii="Times New Roman" w:eastAsia="仿宋_GB2312"/>
          <w:color w:val="auto"/>
          <w:sz w:val="24"/>
        </w:rPr>
        <w:t>时间：自2024年1月</w:t>
      </w:r>
      <w:r>
        <w:rPr>
          <w:rFonts w:hint="eastAsia" w:ascii="Times New Roman" w:eastAsia="仿宋_GB2312"/>
          <w:color w:val="auto"/>
          <w:sz w:val="24"/>
          <w:lang w:val="en-US" w:eastAsia="zh-CN"/>
        </w:rPr>
        <w:t>29</w:t>
      </w:r>
      <w:r>
        <w:rPr>
          <w:rFonts w:ascii="Times New Roman" w:eastAsia="仿宋_GB2312"/>
          <w:color w:val="auto"/>
          <w:sz w:val="24"/>
        </w:rPr>
        <w:t>日</w:t>
      </w:r>
      <w:r>
        <w:rPr>
          <w:rFonts w:hint="eastAsia" w:ascii="Times New Roman" w:eastAsia="仿宋_GB2312"/>
          <w:color w:val="auto"/>
          <w:sz w:val="24"/>
          <w:lang w:val="en-US" w:eastAsia="zh-CN"/>
        </w:rPr>
        <w:t>15:00</w:t>
      </w:r>
      <w:r>
        <w:rPr>
          <w:rFonts w:ascii="Times New Roman" w:eastAsia="仿宋_GB2312"/>
          <w:color w:val="auto"/>
          <w:sz w:val="24"/>
        </w:rPr>
        <w:t>至2024年</w:t>
      </w:r>
      <w:r>
        <w:rPr>
          <w:rFonts w:hint="eastAsia" w:ascii="Times New Roman" w:eastAsia="仿宋_GB2312"/>
          <w:color w:val="auto"/>
          <w:sz w:val="24"/>
          <w:lang w:val="en-US" w:eastAsia="zh-CN"/>
        </w:rPr>
        <w:t>2</w:t>
      </w:r>
      <w:r>
        <w:rPr>
          <w:rFonts w:ascii="Times New Roman" w:eastAsia="仿宋_GB2312"/>
          <w:color w:val="auto"/>
          <w:sz w:val="24"/>
        </w:rPr>
        <w:t>月</w:t>
      </w:r>
      <w:r>
        <w:rPr>
          <w:rFonts w:hint="eastAsia" w:ascii="Times New Roman" w:eastAsia="仿宋_GB2312"/>
          <w:color w:val="auto"/>
          <w:sz w:val="24"/>
          <w:lang w:val="en-US" w:eastAsia="zh-CN"/>
        </w:rPr>
        <w:t>5</w:t>
      </w:r>
      <w:r>
        <w:rPr>
          <w:rFonts w:ascii="Times New Roman" w:eastAsia="仿宋_GB2312"/>
          <w:color w:val="auto"/>
          <w:sz w:val="24"/>
        </w:rPr>
        <w:t>日</w:t>
      </w:r>
      <w:r>
        <w:rPr>
          <w:rFonts w:hint="eastAsia" w:ascii="Times New Roman" w:eastAsia="仿宋_GB2312"/>
          <w:color w:val="auto"/>
          <w:sz w:val="24"/>
          <w:lang w:val="en-US" w:eastAsia="zh-CN"/>
        </w:rPr>
        <w:t>15:00</w:t>
      </w:r>
      <w:r>
        <w:rPr>
          <w:rFonts w:ascii="Times New Roman" w:eastAsia="仿宋_GB2312"/>
          <w:color w:val="auto"/>
          <w:sz w:val="24"/>
        </w:rPr>
        <w:t>止。</w:t>
      </w:r>
    </w:p>
    <w:p>
      <w:pPr>
        <w:spacing w:line="560" w:lineRule="exact"/>
        <w:ind w:firstLine="480" w:firstLineChars="200"/>
        <w:rPr>
          <w:rFonts w:ascii="Times New Roman" w:eastAsia="仿宋"/>
          <w:color w:val="auto"/>
          <w:sz w:val="24"/>
          <w:szCs w:val="24"/>
          <w:lang w:val="zh-CN"/>
        </w:rPr>
      </w:pPr>
      <w:r>
        <w:rPr>
          <w:rFonts w:ascii="Times New Roman" w:eastAsia="仿宋_GB2312"/>
          <w:color w:val="auto"/>
          <w:sz w:val="24"/>
        </w:rPr>
        <w:t>（二）获取方式：本次比选公告在四川蜀道物流集团有限公司网站（</w:t>
      </w:r>
      <w:r>
        <w:rPr>
          <w:rFonts w:hint="eastAsia" w:ascii="Times New Roman" w:eastAsia="仿宋_GB2312"/>
          <w:color w:val="auto"/>
          <w:sz w:val="24"/>
        </w:rPr>
        <w:t>https://www.shudaowl.com/xxgk/gggs/index.shtml</w:t>
      </w:r>
      <w:r>
        <w:rPr>
          <w:rFonts w:ascii="Times New Roman" w:eastAsia="仿宋_GB2312"/>
          <w:color w:val="auto"/>
          <w:sz w:val="24"/>
        </w:rPr>
        <w:t>）和四川蜀物智采平台（https://scjt.tabe.cn/）发布</w:t>
      </w:r>
      <w:r>
        <w:rPr>
          <w:rFonts w:hint="eastAsia" w:ascii="Times New Roman" w:eastAsia="仿宋_GB2312"/>
          <w:color w:val="auto"/>
          <w:sz w:val="24"/>
          <w:lang w:eastAsia="zh-CN"/>
        </w:rPr>
        <w:t>，</w:t>
      </w:r>
      <w:r>
        <w:rPr>
          <w:rFonts w:ascii="Times New Roman" w:eastAsia="仿宋_GB2312"/>
          <w:color w:val="auto"/>
          <w:sz w:val="24"/>
        </w:rPr>
        <w:t>比选申请人</w:t>
      </w:r>
      <w:r>
        <w:rPr>
          <w:rFonts w:hint="eastAsia" w:ascii="Times New Roman" w:eastAsia="仿宋_GB2312"/>
          <w:color w:val="auto"/>
          <w:sz w:val="24"/>
          <w:lang w:val="en-US" w:eastAsia="zh-CN"/>
        </w:rPr>
        <w:t>通过指定网站自行下载</w:t>
      </w:r>
      <w:r>
        <w:rPr>
          <w:rFonts w:ascii="Times New Roman" w:eastAsia="仿宋_GB2312"/>
          <w:color w:val="auto"/>
          <w:sz w:val="24"/>
        </w:rPr>
        <w:t>。</w:t>
      </w:r>
    </w:p>
    <w:p>
      <w:pPr>
        <w:numPr>
          <w:ilvl w:val="0"/>
          <w:numId w:val="4"/>
        </w:numPr>
        <w:spacing w:line="560" w:lineRule="exact"/>
        <w:ind w:firstLine="480" w:firstLineChars="200"/>
        <w:rPr>
          <w:rFonts w:ascii="Times New Roman" w:eastAsia="黑体"/>
          <w:bCs/>
          <w:color w:val="auto"/>
          <w:kern w:val="2"/>
          <w:sz w:val="24"/>
          <w:szCs w:val="24"/>
          <w:lang w:val="zh-CN"/>
        </w:rPr>
      </w:pPr>
      <w:r>
        <w:rPr>
          <w:rFonts w:ascii="Times New Roman" w:eastAsia="黑体"/>
          <w:bCs/>
          <w:color w:val="auto"/>
          <w:kern w:val="2"/>
          <w:sz w:val="24"/>
          <w:szCs w:val="24"/>
        </w:rPr>
        <w:t>比选</w:t>
      </w:r>
      <w:r>
        <w:rPr>
          <w:rFonts w:ascii="Times New Roman" w:eastAsia="黑体"/>
          <w:bCs/>
          <w:color w:val="auto"/>
          <w:kern w:val="2"/>
          <w:sz w:val="24"/>
          <w:szCs w:val="24"/>
          <w:lang w:val="zh-CN"/>
        </w:rPr>
        <w:t>文件的递交</w:t>
      </w:r>
    </w:p>
    <w:p>
      <w:pPr>
        <w:spacing w:line="560" w:lineRule="exact"/>
        <w:ind w:firstLine="480" w:firstLineChars="200"/>
        <w:rPr>
          <w:rFonts w:ascii="Times New Roman" w:eastAsia="仿宋_GB2312"/>
          <w:color w:val="auto"/>
          <w:sz w:val="24"/>
        </w:rPr>
      </w:pPr>
      <w:r>
        <w:rPr>
          <w:rFonts w:hint="eastAsia" w:ascii="Times New Roman" w:eastAsia="仿宋_GB2312"/>
          <w:color w:val="auto"/>
          <w:sz w:val="24"/>
          <w:lang w:eastAsia="zh-CN"/>
        </w:rPr>
        <w:t>（</w:t>
      </w:r>
      <w:r>
        <w:rPr>
          <w:rFonts w:hint="eastAsia" w:ascii="Times New Roman" w:eastAsia="仿宋_GB2312"/>
          <w:color w:val="auto"/>
          <w:sz w:val="24"/>
          <w:lang w:val="en-US" w:eastAsia="zh-CN"/>
        </w:rPr>
        <w:t>一</w:t>
      </w:r>
      <w:r>
        <w:rPr>
          <w:rFonts w:hint="eastAsia" w:ascii="Times New Roman" w:eastAsia="仿宋_GB2312"/>
          <w:color w:val="auto"/>
          <w:sz w:val="24"/>
          <w:lang w:eastAsia="zh-CN"/>
        </w:rPr>
        <w:t>）</w:t>
      </w:r>
      <w:r>
        <w:rPr>
          <w:rFonts w:ascii="Times New Roman" w:eastAsia="仿宋_GB2312"/>
          <w:color w:val="auto"/>
          <w:sz w:val="24"/>
        </w:rPr>
        <w:t>递交时间：2024年</w:t>
      </w:r>
      <w:r>
        <w:rPr>
          <w:rFonts w:hint="eastAsia" w:ascii="Times New Roman" w:eastAsia="仿宋_GB2312"/>
          <w:color w:val="auto"/>
          <w:sz w:val="24"/>
          <w:lang w:val="en-US" w:eastAsia="zh-CN"/>
        </w:rPr>
        <w:t>2</w:t>
      </w:r>
      <w:r>
        <w:rPr>
          <w:rFonts w:ascii="Times New Roman" w:eastAsia="仿宋_GB2312"/>
          <w:color w:val="auto"/>
          <w:sz w:val="24"/>
        </w:rPr>
        <w:t>月</w:t>
      </w:r>
      <w:r>
        <w:rPr>
          <w:rFonts w:hint="eastAsia" w:ascii="Times New Roman" w:eastAsia="仿宋_GB2312"/>
          <w:color w:val="auto"/>
          <w:sz w:val="24"/>
          <w:lang w:val="en-US" w:eastAsia="zh-CN"/>
        </w:rPr>
        <w:t>5</w:t>
      </w:r>
      <w:r>
        <w:rPr>
          <w:rFonts w:ascii="Times New Roman" w:eastAsia="仿宋_GB2312"/>
          <w:color w:val="auto"/>
          <w:sz w:val="24"/>
        </w:rPr>
        <w:t>日</w:t>
      </w:r>
      <w:r>
        <w:rPr>
          <w:rFonts w:hint="eastAsia" w:ascii="Times New Roman" w:eastAsia="仿宋_GB2312"/>
          <w:color w:val="auto"/>
          <w:sz w:val="24"/>
          <w:lang w:val="en-US" w:eastAsia="zh-CN"/>
        </w:rPr>
        <w:t>14</w:t>
      </w:r>
      <w:r>
        <w:rPr>
          <w:rFonts w:ascii="Times New Roman" w:eastAsia="仿宋_GB2312"/>
          <w:color w:val="auto"/>
          <w:sz w:val="24"/>
        </w:rPr>
        <w:t>:</w:t>
      </w:r>
      <w:r>
        <w:rPr>
          <w:rFonts w:hint="eastAsia" w:ascii="Times New Roman" w:eastAsia="仿宋_GB2312"/>
          <w:color w:val="auto"/>
          <w:sz w:val="24"/>
          <w:lang w:val="en-US" w:eastAsia="zh-CN"/>
        </w:rPr>
        <w:t>0</w:t>
      </w:r>
      <w:r>
        <w:rPr>
          <w:rFonts w:ascii="Times New Roman" w:eastAsia="仿宋_GB2312"/>
          <w:color w:val="auto"/>
          <w:sz w:val="24"/>
        </w:rPr>
        <w:t>0至1</w:t>
      </w:r>
      <w:r>
        <w:rPr>
          <w:rFonts w:hint="eastAsia" w:ascii="Times New Roman" w:eastAsia="仿宋_GB2312"/>
          <w:color w:val="auto"/>
          <w:sz w:val="24"/>
          <w:lang w:val="en-US" w:eastAsia="zh-CN"/>
        </w:rPr>
        <w:t>5</w:t>
      </w:r>
      <w:r>
        <w:rPr>
          <w:rFonts w:ascii="Times New Roman" w:eastAsia="仿宋_GB2312"/>
          <w:color w:val="auto"/>
          <w:sz w:val="24"/>
        </w:rPr>
        <w:t>:00（北京时间）。</w:t>
      </w:r>
    </w:p>
    <w:p>
      <w:pPr>
        <w:spacing w:line="560" w:lineRule="exact"/>
        <w:ind w:firstLine="480" w:firstLineChars="200"/>
        <w:rPr>
          <w:rFonts w:ascii="Times New Roman" w:eastAsia="仿宋_GB2312"/>
          <w:color w:val="auto"/>
          <w:sz w:val="24"/>
        </w:rPr>
      </w:pPr>
      <w:r>
        <w:rPr>
          <w:rFonts w:hint="eastAsia" w:ascii="Times New Roman" w:eastAsia="仿宋_GB2312"/>
          <w:color w:val="auto"/>
          <w:sz w:val="24"/>
          <w:lang w:eastAsia="zh-CN"/>
        </w:rPr>
        <w:t>（</w:t>
      </w:r>
      <w:r>
        <w:rPr>
          <w:rFonts w:hint="eastAsia" w:ascii="Times New Roman" w:eastAsia="仿宋_GB2312"/>
          <w:color w:val="auto"/>
          <w:sz w:val="24"/>
          <w:lang w:val="en-US" w:eastAsia="zh-CN"/>
        </w:rPr>
        <w:t>二</w:t>
      </w:r>
      <w:r>
        <w:rPr>
          <w:rFonts w:hint="eastAsia" w:ascii="Times New Roman" w:eastAsia="仿宋_GB2312"/>
          <w:color w:val="auto"/>
          <w:sz w:val="24"/>
          <w:lang w:eastAsia="zh-CN"/>
        </w:rPr>
        <w:t>）</w:t>
      </w:r>
      <w:r>
        <w:rPr>
          <w:rFonts w:ascii="Times New Roman" w:eastAsia="仿宋_GB2312"/>
          <w:color w:val="auto"/>
          <w:sz w:val="24"/>
        </w:rPr>
        <w:t>递交地点：成都市青羊区光华北5路266号青羊总部经济基地2栋A座10楼，比选申请人应派代表出席并</w:t>
      </w:r>
      <w:r>
        <w:rPr>
          <w:rFonts w:hint="eastAsia" w:ascii="Times New Roman" w:eastAsia="仿宋_GB2312"/>
          <w:color w:val="auto"/>
          <w:sz w:val="24"/>
          <w:lang w:val="en-US" w:eastAsia="zh-CN"/>
        </w:rPr>
        <w:t>签字确认</w:t>
      </w:r>
      <w:r>
        <w:rPr>
          <w:rFonts w:ascii="Times New Roman" w:eastAsia="仿宋_GB2312"/>
          <w:color w:val="auto"/>
          <w:sz w:val="24"/>
        </w:rPr>
        <w:t>开标结果。</w:t>
      </w:r>
    </w:p>
    <w:p>
      <w:pPr>
        <w:spacing w:line="560" w:lineRule="exact"/>
        <w:ind w:firstLine="480" w:firstLineChars="200"/>
        <w:rPr>
          <w:rFonts w:ascii="Times New Roman" w:eastAsia="仿宋"/>
          <w:color w:val="auto"/>
          <w:sz w:val="24"/>
          <w:szCs w:val="24"/>
          <w:shd w:val="clear" w:color="auto" w:fill="FFFFFF"/>
        </w:rPr>
      </w:pPr>
      <w:r>
        <w:rPr>
          <w:rFonts w:hint="eastAsia" w:ascii="Times New Roman" w:eastAsia="仿宋_GB2312"/>
          <w:color w:val="auto"/>
          <w:sz w:val="24"/>
          <w:lang w:eastAsia="zh-CN"/>
        </w:rPr>
        <w:t>（</w:t>
      </w:r>
      <w:r>
        <w:rPr>
          <w:rFonts w:hint="eastAsia" w:ascii="Times New Roman" w:eastAsia="仿宋_GB2312"/>
          <w:color w:val="auto"/>
          <w:sz w:val="24"/>
          <w:lang w:val="en-US" w:eastAsia="zh-CN"/>
        </w:rPr>
        <w:t>三</w:t>
      </w:r>
      <w:bookmarkStart w:id="366" w:name="_GoBack"/>
      <w:bookmarkEnd w:id="366"/>
      <w:r>
        <w:rPr>
          <w:rFonts w:hint="eastAsia" w:ascii="Times New Roman" w:eastAsia="仿宋_GB2312"/>
          <w:color w:val="auto"/>
          <w:sz w:val="24"/>
          <w:lang w:eastAsia="zh-CN"/>
        </w:rPr>
        <w:t>）</w:t>
      </w:r>
      <w:r>
        <w:rPr>
          <w:rFonts w:ascii="Times New Roman" w:eastAsia="仿宋_GB2312"/>
          <w:color w:val="auto"/>
          <w:sz w:val="24"/>
        </w:rPr>
        <w:t>逾期送达或者未送达指定地点的比选申请书，比选人将不予接收。</w:t>
      </w:r>
    </w:p>
    <w:p>
      <w:pPr>
        <w:numPr>
          <w:ilvl w:val="0"/>
          <w:numId w:val="4"/>
        </w:numPr>
        <w:spacing w:line="560" w:lineRule="exact"/>
        <w:ind w:firstLine="480" w:firstLineChars="200"/>
        <w:rPr>
          <w:rFonts w:ascii="Times New Roman" w:eastAsia="黑体"/>
          <w:bCs/>
          <w:color w:val="auto"/>
          <w:kern w:val="2"/>
          <w:sz w:val="24"/>
          <w:szCs w:val="24"/>
          <w:lang w:val="zh-CN"/>
        </w:rPr>
      </w:pPr>
      <w:r>
        <w:rPr>
          <w:rFonts w:ascii="Times New Roman" w:eastAsia="黑体"/>
          <w:bCs/>
          <w:color w:val="auto"/>
          <w:kern w:val="2"/>
          <w:sz w:val="24"/>
          <w:szCs w:val="24"/>
          <w:lang w:val="zh-CN"/>
        </w:rPr>
        <w:t>联系方式</w:t>
      </w:r>
    </w:p>
    <w:p>
      <w:pPr>
        <w:spacing w:line="560" w:lineRule="exact"/>
        <w:ind w:firstLine="480" w:firstLineChars="200"/>
        <w:rPr>
          <w:rFonts w:ascii="Times New Roman" w:eastAsia="仿宋_GB2312"/>
          <w:color w:val="auto"/>
          <w:sz w:val="24"/>
        </w:rPr>
      </w:pPr>
      <w:r>
        <w:rPr>
          <w:rFonts w:hint="eastAsia" w:ascii="Times New Roman" w:eastAsia="仿宋_GB2312"/>
          <w:color w:val="auto"/>
          <w:sz w:val="24"/>
          <w:lang w:val="zh-CN"/>
        </w:rPr>
        <w:t>比选人</w:t>
      </w:r>
      <w:r>
        <w:rPr>
          <w:rFonts w:ascii="Times New Roman" w:eastAsia="仿宋_GB2312"/>
          <w:color w:val="auto"/>
          <w:sz w:val="24"/>
          <w:lang w:val="zh-CN"/>
        </w:rPr>
        <w:t>：</w:t>
      </w:r>
      <w:r>
        <w:rPr>
          <w:rFonts w:ascii="Times New Roman" w:eastAsia="仿宋_GB2312"/>
          <w:color w:val="auto"/>
          <w:sz w:val="24"/>
        </w:rPr>
        <w:t>四川蜀物兴川物流发展有限公司</w:t>
      </w:r>
    </w:p>
    <w:p>
      <w:pPr>
        <w:spacing w:line="560" w:lineRule="exact"/>
        <w:ind w:firstLine="480" w:firstLineChars="200"/>
        <w:rPr>
          <w:rFonts w:ascii="Times New Roman" w:eastAsia="仿宋_GB2312"/>
          <w:color w:val="auto"/>
          <w:sz w:val="24"/>
        </w:rPr>
      </w:pPr>
      <w:r>
        <w:rPr>
          <w:rFonts w:ascii="Times New Roman" w:eastAsia="仿宋_GB2312"/>
          <w:color w:val="auto"/>
          <w:sz w:val="24"/>
          <w:lang w:val="zh-CN"/>
        </w:rPr>
        <w:t>地</w:t>
      </w:r>
      <w:r>
        <w:rPr>
          <w:rFonts w:ascii="Times New Roman" w:eastAsia="仿宋_GB2312"/>
          <w:color w:val="auto"/>
          <w:sz w:val="24"/>
        </w:rPr>
        <w:t xml:space="preserve">  </w:t>
      </w:r>
      <w:r>
        <w:rPr>
          <w:rFonts w:ascii="Times New Roman" w:eastAsia="仿宋_GB2312"/>
          <w:color w:val="auto"/>
          <w:sz w:val="24"/>
          <w:lang w:val="zh-CN"/>
        </w:rPr>
        <w:t>址：</w:t>
      </w:r>
      <w:r>
        <w:rPr>
          <w:rFonts w:ascii="Times New Roman" w:eastAsia="仿宋_GB2312"/>
          <w:color w:val="auto"/>
          <w:sz w:val="24"/>
        </w:rPr>
        <w:t>成都市青羊区光华北五路266号青羊总部经济基地2号楼A座</w:t>
      </w:r>
      <w:r>
        <w:rPr>
          <w:rFonts w:hint="eastAsia" w:ascii="Times New Roman" w:eastAsia="仿宋_GB2312"/>
          <w:color w:val="auto"/>
          <w:sz w:val="24"/>
        </w:rPr>
        <w:t>10楼</w:t>
      </w:r>
    </w:p>
    <w:p>
      <w:pPr>
        <w:spacing w:line="560" w:lineRule="exact"/>
        <w:ind w:firstLine="480" w:firstLineChars="200"/>
        <w:rPr>
          <w:rFonts w:ascii="Times New Roman" w:eastAsia="仿宋_GB2312"/>
          <w:color w:val="auto"/>
          <w:sz w:val="24"/>
        </w:rPr>
      </w:pPr>
      <w:r>
        <w:rPr>
          <w:rFonts w:ascii="Times New Roman" w:eastAsia="仿宋_GB2312"/>
          <w:color w:val="auto"/>
          <w:sz w:val="24"/>
          <w:lang w:val="zh-CN"/>
        </w:rPr>
        <w:t>联系人</w:t>
      </w:r>
      <w:r>
        <w:rPr>
          <w:rFonts w:ascii="Times New Roman" w:eastAsia="仿宋_GB2312"/>
          <w:color w:val="auto"/>
          <w:sz w:val="24"/>
        </w:rPr>
        <w:t>：杨先生</w:t>
      </w:r>
    </w:p>
    <w:p>
      <w:pPr>
        <w:spacing w:line="560" w:lineRule="exact"/>
        <w:ind w:firstLine="480" w:firstLineChars="200"/>
        <w:rPr>
          <w:rFonts w:ascii="Times New Roman" w:eastAsia="仿宋_GB2312"/>
          <w:color w:val="auto"/>
          <w:sz w:val="24"/>
        </w:rPr>
      </w:pPr>
      <w:r>
        <w:rPr>
          <w:rFonts w:ascii="Times New Roman" w:eastAsia="仿宋_GB2312"/>
          <w:color w:val="auto"/>
          <w:sz w:val="24"/>
          <w:lang w:val="zh-CN"/>
        </w:rPr>
        <w:t>电子邮件</w:t>
      </w:r>
      <w:r>
        <w:rPr>
          <w:rFonts w:ascii="Times New Roman" w:eastAsia="仿宋_GB2312"/>
          <w:color w:val="auto"/>
          <w:sz w:val="24"/>
        </w:rPr>
        <w:t>：sdwl2023@163.com</w:t>
      </w:r>
    </w:p>
    <w:p>
      <w:pPr>
        <w:spacing w:line="560" w:lineRule="exact"/>
        <w:ind w:firstLine="480" w:firstLineChars="200"/>
        <w:rPr>
          <w:rFonts w:ascii="Times New Roman" w:eastAsia="仿宋_GB2312"/>
          <w:color w:val="auto"/>
          <w:sz w:val="24"/>
        </w:rPr>
      </w:pPr>
      <w:r>
        <w:rPr>
          <w:rFonts w:ascii="Times New Roman" w:eastAsia="仿宋_GB2312"/>
          <w:color w:val="auto"/>
          <w:sz w:val="24"/>
        </w:rPr>
        <w:br w:type="page"/>
      </w:r>
    </w:p>
    <w:p>
      <w:pPr>
        <w:numPr>
          <w:ilvl w:val="0"/>
          <w:numId w:val="3"/>
        </w:numPr>
        <w:spacing w:line="560" w:lineRule="exact"/>
        <w:ind w:firstLine="0"/>
        <w:jc w:val="center"/>
        <w:outlineLvl w:val="0"/>
        <w:rPr>
          <w:rFonts w:ascii="方正小标宋简体" w:hAnsi="方正小标宋简体" w:eastAsia="方正小标宋简体" w:cs="方正小标宋简体"/>
          <w:color w:val="auto"/>
          <w:kern w:val="2"/>
          <w:sz w:val="32"/>
          <w:szCs w:val="32"/>
        </w:rPr>
      </w:pPr>
      <w:bookmarkStart w:id="19" w:name="_Toc27114"/>
      <w:bookmarkStart w:id="20" w:name="_Toc27022"/>
      <w:r>
        <w:rPr>
          <w:rFonts w:hint="eastAsia" w:ascii="方正小标宋简体" w:hAnsi="方正小标宋简体" w:eastAsia="方正小标宋简体" w:cs="方正小标宋简体"/>
          <w:color w:val="auto"/>
          <w:kern w:val="2"/>
          <w:sz w:val="32"/>
          <w:szCs w:val="32"/>
        </w:rPr>
        <w:t>比选须知</w:t>
      </w:r>
      <w:bookmarkEnd w:id="10"/>
      <w:bookmarkEnd w:id="11"/>
      <w:bookmarkEnd w:id="12"/>
      <w:bookmarkEnd w:id="13"/>
      <w:bookmarkEnd w:id="14"/>
      <w:bookmarkEnd w:id="19"/>
      <w:bookmarkEnd w:id="20"/>
      <w:bookmarkStart w:id="21" w:name="_Toc184283909"/>
      <w:bookmarkStart w:id="22" w:name="_Toc184274915"/>
    </w:p>
    <w:p>
      <w:pPr>
        <w:pStyle w:val="4"/>
        <w:spacing w:before="0" w:after="0" w:line="560" w:lineRule="exact"/>
        <w:jc w:val="center"/>
        <w:rPr>
          <w:rFonts w:ascii="仿宋" w:eastAsia="仿宋"/>
          <w:color w:val="auto"/>
        </w:rPr>
      </w:pPr>
      <w:bookmarkStart w:id="23" w:name="_Toc213496268"/>
      <w:bookmarkStart w:id="24" w:name="_Toc189727030"/>
      <w:bookmarkStart w:id="25" w:name="_Toc213396946"/>
      <w:bookmarkStart w:id="26" w:name="_Toc213397010"/>
      <w:bookmarkStart w:id="27" w:name="_Toc217446032"/>
      <w:bookmarkStart w:id="28" w:name="_Toc213396760"/>
      <w:r>
        <w:rPr>
          <w:rFonts w:hint="eastAsia" w:ascii="仿宋" w:eastAsia="仿宋"/>
          <w:color w:val="auto"/>
        </w:rPr>
        <w:t>比选须知前附表</w:t>
      </w:r>
      <w:bookmarkEnd w:id="21"/>
      <w:bookmarkEnd w:id="22"/>
      <w:bookmarkEnd w:id="23"/>
      <w:bookmarkEnd w:id="24"/>
      <w:bookmarkEnd w:id="25"/>
      <w:bookmarkEnd w:id="26"/>
      <w:bookmarkEnd w:id="27"/>
      <w:bookmarkEnd w:id="28"/>
    </w:p>
    <w:bookmarkEnd w:id="15"/>
    <w:bookmarkEnd w:id="16"/>
    <w:bookmarkEnd w:id="17"/>
    <w:bookmarkEnd w:id="18"/>
    <w:tbl>
      <w:tblPr>
        <w:tblStyle w:val="32"/>
        <w:tblW w:w="96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712"/>
        <w:gridCol w:w="610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99" w:type="dxa"/>
            <w:vAlign w:val="center"/>
          </w:tcPr>
          <w:p>
            <w:pPr>
              <w:spacing w:line="460" w:lineRule="exact"/>
              <w:jc w:val="center"/>
              <w:rPr>
                <w:rFonts w:ascii="仿宋_GB2312" w:hAnsi="仿宋_GB2312" w:eastAsia="仿宋_GB2312" w:cs="仿宋_GB2312"/>
                <w:color w:val="auto"/>
                <w:sz w:val="24"/>
              </w:rPr>
            </w:pPr>
            <w:bookmarkStart w:id="29" w:name="_Toc77400778"/>
            <w:bookmarkStart w:id="30" w:name="_Toc183682341"/>
            <w:bookmarkStart w:id="31" w:name="_Toc89075873"/>
            <w:bookmarkStart w:id="32" w:name="_Toc183582204"/>
            <w:bookmarkStart w:id="33" w:name="_Toc217446033"/>
            <w:r>
              <w:rPr>
                <w:rFonts w:hint="eastAsia" w:ascii="仿宋_GB2312" w:hAnsi="仿宋_GB2312" w:eastAsia="仿宋_GB2312" w:cs="仿宋_GB2312"/>
                <w:color w:val="auto"/>
                <w:sz w:val="24"/>
              </w:rPr>
              <w:t>序号</w:t>
            </w: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内    容</w:t>
            </w:r>
          </w:p>
        </w:tc>
        <w:tc>
          <w:tcPr>
            <w:tcW w:w="6103"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某公司港口作业纠纷案件诉讼及过程法律服务采购项目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比选申请文件的</w:t>
            </w:r>
          </w:p>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印制和签署</w:t>
            </w:r>
          </w:p>
          <w:p>
            <w:pPr>
              <w:spacing w:line="460" w:lineRule="exact"/>
              <w:jc w:val="center"/>
              <w:rPr>
                <w:rFonts w:ascii="仿宋_GB2312" w:hAnsi="仿宋_GB2312" w:eastAsia="仿宋_GB2312" w:cs="仿宋_GB2312"/>
                <w:color w:val="auto"/>
                <w:sz w:val="24"/>
              </w:rPr>
            </w:pP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比选申请书数量：</w:t>
            </w:r>
            <w:r>
              <w:rPr>
                <w:rFonts w:hint="eastAsia" w:ascii="仿宋_GB2312" w:hAnsi="仿宋_GB2312" w:eastAsia="仿宋_GB2312" w:cs="仿宋_GB2312"/>
                <w:color w:val="auto"/>
                <w:sz w:val="24"/>
              </w:rPr>
              <w:t>正本壹份，副本壹份，电子文档壹份（以PDF格式存放在U盘里的副本扫描件）。</w:t>
            </w:r>
          </w:p>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制作要求：</w:t>
            </w:r>
            <w:r>
              <w:rPr>
                <w:rFonts w:hint="eastAsia" w:ascii="仿宋_GB2312" w:hAnsi="仿宋_GB2312" w:eastAsia="仿宋_GB2312" w:cs="仿宋_GB2312"/>
                <w:color w:val="auto"/>
                <w:sz w:val="24"/>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单位负责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p>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最高限价</w:t>
            </w:r>
          </w:p>
          <w:p>
            <w:pPr>
              <w:spacing w:line="4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详见第三章</w:t>
            </w:r>
            <w:r>
              <w:rPr>
                <w:rFonts w:hint="eastAsia" w:ascii="仿宋_GB2312" w:hAnsi="仿宋_GB2312" w:eastAsia="仿宋_GB2312" w:cs="仿宋_GB2312"/>
                <w:color w:val="auto"/>
                <w:sz w:val="24"/>
                <w:lang w:eastAsia="zh-CN"/>
              </w:rPr>
              <w:t>）</w:t>
            </w:r>
          </w:p>
        </w:tc>
        <w:tc>
          <w:tcPr>
            <w:tcW w:w="6103" w:type="dxa"/>
            <w:vAlign w:val="center"/>
          </w:tcPr>
          <w:p>
            <w:pPr>
              <w:spacing w:line="460" w:lineRule="exac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1.综合报价最高限价</w:t>
            </w:r>
            <w:r>
              <w:rPr>
                <w:rFonts w:hint="eastAsia" w:ascii="仿宋_GB2312" w:hAnsi="仿宋_GB2312" w:eastAsia="仿宋_GB2312" w:cs="仿宋_GB2312"/>
                <w:color w:val="auto"/>
                <w:sz w:val="24"/>
              </w:rPr>
              <w:t>4</w:t>
            </w:r>
            <w:r>
              <w:rPr>
                <w:rFonts w:hint="eastAsia" w:ascii="仿宋_GB2312" w:hAnsi="仿宋_GB2312" w:eastAsia="仿宋_GB2312" w:cs="仿宋_GB2312"/>
                <w:color w:val="auto"/>
                <w:sz w:val="24"/>
                <w:lang w:eastAsia="zh-CN"/>
              </w:rPr>
              <w:t>8</w:t>
            </w:r>
            <w:r>
              <w:rPr>
                <w:rFonts w:hint="eastAsia" w:ascii="仿宋_GB2312" w:hAnsi="仿宋_GB2312" w:eastAsia="仿宋_GB2312" w:cs="仿宋_GB2312"/>
                <w:color w:val="auto"/>
                <w:sz w:val="24"/>
              </w:rPr>
              <w:t>万元，</w:t>
            </w:r>
            <w:r>
              <w:rPr>
                <w:rFonts w:hint="eastAsia" w:ascii="仿宋_GB2312" w:hAnsi="仿宋_GB2312" w:eastAsia="仿宋_GB2312" w:cs="仿宋_GB2312"/>
                <w:color w:val="auto"/>
                <w:sz w:val="24"/>
                <w:lang w:val="en-US" w:eastAsia="zh-CN"/>
              </w:rPr>
              <w:t>综合报价由基础代理费、风险代理费组成，分别如下：</w:t>
            </w:r>
          </w:p>
          <w:p>
            <w:pPr>
              <w:spacing w:line="460" w:lineRule="exac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（1）基础代理费最高限价：12万元；</w:t>
            </w:r>
          </w:p>
          <w:p>
            <w:pPr>
              <w:spacing w:line="4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基数为0万元（不含）-100万元（含）时，风险代理费报价比例最高限8%，最高限价8万元；</w:t>
            </w:r>
          </w:p>
          <w:p>
            <w:pPr>
              <w:spacing w:line="46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（3）基数为100万元（不含）-500万元（含）时，风险代理费报价比例最高限6%，最高限价24万元；</w:t>
            </w:r>
          </w:p>
          <w:p>
            <w:pPr>
              <w:spacing w:line="460" w:lineRule="exac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（4）基数为5,000,000.00元（不含）-6,394,679.61元（含）时，风险代理费报价比例最高限3%，最高限价4万元</w:t>
            </w:r>
            <w:r>
              <w:rPr>
                <w:rFonts w:hint="eastAsia" w:ascii="仿宋_GB2312" w:hAnsi="仿宋_GB2312" w:eastAsia="仿宋_GB2312" w:cs="仿宋_GB2312"/>
                <w:color w:val="auto"/>
                <w:sz w:val="24"/>
                <w:lang w:eastAsia="zh-CN"/>
              </w:rPr>
              <w:t>。</w:t>
            </w:r>
          </w:p>
          <w:p>
            <w:pPr>
              <w:pStyle w:val="14"/>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kern w:val="0"/>
                <w:sz w:val="24"/>
                <w:szCs w:val="20"/>
                <w:lang w:val="en-US" w:eastAsia="zh-CN" w:bidi="ar-SA"/>
              </w:rPr>
              <w:t>比选人超过最高限价的将无法进入综合评分阶段。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履约期限</w:t>
            </w:r>
          </w:p>
        </w:tc>
        <w:tc>
          <w:tcPr>
            <w:tcW w:w="6103" w:type="dxa"/>
            <w:vAlign w:val="center"/>
          </w:tcPr>
          <w:p>
            <w:pPr>
              <w:spacing w:line="4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自合同签订之日起至本案发回重审一审、二审（或有）、执行（或有）。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履约地点</w:t>
            </w:r>
          </w:p>
        </w:tc>
        <w:tc>
          <w:tcPr>
            <w:tcW w:w="6103" w:type="dxa"/>
            <w:vAlign w:val="center"/>
          </w:tcPr>
          <w:p>
            <w:pPr>
              <w:spacing w:line="4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雷波县人民法院和诉讼涉及的各级审判机关。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评审方法</w:t>
            </w:r>
          </w:p>
        </w:tc>
        <w:tc>
          <w:tcPr>
            <w:tcW w:w="6103" w:type="dxa"/>
            <w:vAlign w:val="center"/>
          </w:tcPr>
          <w:p>
            <w:pPr>
              <w:spacing w:line="4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详见比选文件第四章。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关于比选文件规定的时间释义</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本项目比选文件中规定的时间均以北京时间为准。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参与比选活动保证金</w:t>
            </w:r>
          </w:p>
        </w:tc>
        <w:tc>
          <w:tcPr>
            <w:tcW w:w="6103" w:type="dxa"/>
            <w:vAlign w:val="center"/>
          </w:tcPr>
          <w:p>
            <w:pPr>
              <w:spacing w:line="460" w:lineRule="exac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本项目不作要求。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考察现场、标前答疑会</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本项目不组织现场考察、标前答疑会。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报价有效期</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报价截止之日起90天。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签字盖章</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比选申请人必须按照比选文件的规定和要求签字、盖章。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比选申请文件的装订</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一份正本和一份副本分别装订。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比选申请文件封面的标注</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响应文件正本和副本的封面上均应标明：采购项目名称、申请人名称、年月日；并分别在右上角标明“正本”和“副本”字样。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比选申请文件外层密封袋的标注</w:t>
            </w:r>
          </w:p>
        </w:tc>
        <w:tc>
          <w:tcPr>
            <w:tcW w:w="6103" w:type="dxa"/>
            <w:vAlign w:val="center"/>
          </w:tcPr>
          <w:p>
            <w:pPr>
              <w:pStyle w:val="14"/>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采购项目名称、申请人名称、响应时间，密封袋背面应贴上密封条并注明“开标前不得开启”字样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递交比选申请文件地点</w:t>
            </w:r>
          </w:p>
        </w:tc>
        <w:tc>
          <w:tcPr>
            <w:tcW w:w="6103" w:type="dxa"/>
            <w:vAlign w:val="center"/>
          </w:tcPr>
          <w:p>
            <w:pPr>
              <w:spacing w:line="460" w:lineRule="exact"/>
              <w:rPr>
                <w:rFonts w:ascii="仿宋_GB2312" w:hAnsi="仿宋_GB2312" w:eastAsia="仿宋_GB2312" w:cs="仿宋_GB2312"/>
                <w:color w:val="auto"/>
                <w:sz w:val="24"/>
              </w:rPr>
            </w:pPr>
            <w:r>
              <w:rPr>
                <w:rFonts w:ascii="仿宋_GB2312" w:hAnsi="仿宋_GB2312" w:eastAsia="仿宋_GB2312" w:cs="仿宋_GB2312"/>
                <w:color w:val="auto"/>
                <w:sz w:val="24"/>
              </w:rPr>
              <w:t>成都市青羊区光华北5路266号青羊总部经济基地2栋A座</w:t>
            </w:r>
            <w:r>
              <w:rPr>
                <w:rFonts w:hint="eastAsia" w:ascii="仿宋_GB2312" w:hAnsi="仿宋_GB2312" w:eastAsia="仿宋_GB2312" w:cs="仿宋_GB2312"/>
                <w:color w:val="auto"/>
                <w:sz w:val="24"/>
              </w:rPr>
              <w:t>10</w:t>
            </w:r>
            <w:r>
              <w:rPr>
                <w:rFonts w:ascii="仿宋_GB2312" w:hAnsi="仿宋_GB2312" w:eastAsia="仿宋_GB2312" w:cs="仿宋_GB2312"/>
                <w:color w:val="auto"/>
                <w:sz w:val="24"/>
              </w:rPr>
              <w:t>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评审时间和地点</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评审时间：同报价截止时间；</w:t>
            </w:r>
          </w:p>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评审地点：同递交响应文件地点。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付款方式</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pPr>
              <w:numPr>
                <w:ilvl w:val="0"/>
                <w:numId w:val="6"/>
              </w:numPr>
              <w:spacing w:line="460" w:lineRule="exact"/>
              <w:ind w:left="340" w:leftChars="100" w:firstLine="0"/>
              <w:jc w:val="center"/>
              <w:rPr>
                <w:rFonts w:ascii="仿宋_GB2312" w:hAnsi="仿宋_GB2312" w:eastAsia="仿宋_GB2312" w:cs="仿宋_GB2312"/>
                <w:color w:val="auto"/>
                <w:sz w:val="24"/>
              </w:rPr>
            </w:pPr>
          </w:p>
        </w:tc>
        <w:tc>
          <w:tcPr>
            <w:tcW w:w="2712" w:type="dxa"/>
            <w:vAlign w:val="center"/>
          </w:tcPr>
          <w:p>
            <w:pPr>
              <w:spacing w:line="4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其他事项</w:t>
            </w:r>
          </w:p>
        </w:tc>
        <w:tc>
          <w:tcPr>
            <w:tcW w:w="6103" w:type="dxa"/>
            <w:vAlign w:val="center"/>
          </w:tcPr>
          <w:p>
            <w:pPr>
              <w:spacing w:line="4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比选文件前后不一致的，以内容在前的描述为准。</w:t>
            </w:r>
          </w:p>
        </w:tc>
      </w:tr>
    </w:tbl>
    <w:p>
      <w:pPr>
        <w:rPr>
          <w:rFonts w:ascii="仿宋_GB2312" w:hAnsi="仿宋_GB2312" w:eastAsia="仿宋_GB2312" w:cs="仿宋_GB2312"/>
          <w:b/>
          <w:color w:val="auto"/>
          <w:sz w:val="24"/>
        </w:rPr>
      </w:pPr>
      <w:r>
        <w:rPr>
          <w:rFonts w:ascii="仿宋_GB2312" w:hAnsi="仿宋_GB2312" w:eastAsia="仿宋_GB2312" w:cs="仿宋_GB2312"/>
          <w:b/>
          <w:color w:val="auto"/>
          <w:sz w:val="24"/>
        </w:rPr>
        <w:br w:type="page"/>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34" w:name="_Toc465149293"/>
      <w:bookmarkStart w:id="35" w:name="_Toc23579"/>
      <w:bookmarkStart w:id="36" w:name="_Toc480453647"/>
      <w:bookmarkStart w:id="37" w:name="_Toc474326973"/>
      <w:bookmarkStart w:id="38" w:name="_Toc14301616"/>
      <w:bookmarkStart w:id="39" w:name="_Toc505261839"/>
      <w:bookmarkStart w:id="40" w:name="_Toc361325741"/>
      <w:bookmarkStart w:id="41" w:name="_Toc361388549"/>
      <w:bookmarkStart w:id="42" w:name="_Toc444620282"/>
      <w:bookmarkStart w:id="43" w:name="_Toc22245"/>
      <w:bookmarkStart w:id="44" w:name="_Toc474502513"/>
      <w:bookmarkStart w:id="45" w:name="_Toc217446034"/>
      <w:bookmarkStart w:id="46" w:name="_Toc25528"/>
      <w:bookmarkStart w:id="47" w:name="_Toc14336241"/>
      <w:bookmarkStart w:id="48" w:name="_Toc513468977"/>
      <w:bookmarkStart w:id="49" w:name="_Toc362988437"/>
      <w:bookmarkStart w:id="50" w:name="_Toc14948"/>
      <w:bookmarkStart w:id="51" w:name="_Toc466391880"/>
      <w:bookmarkStart w:id="52" w:name="_Toc13301"/>
      <w:bookmarkStart w:id="53" w:name="_Toc15283"/>
      <w:r>
        <w:rPr>
          <w:rFonts w:hint="eastAsia" w:ascii="仿宋_GB2312" w:hAnsi="仿宋_GB2312" w:eastAsia="仿宋_GB2312" w:cs="仿宋_GB2312"/>
          <w:color w:val="auto"/>
          <w:sz w:val="24"/>
          <w:szCs w:val="24"/>
        </w:rPr>
        <w:t>适用范围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本比选文件仅适用于本次比选项目。</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54" w:name="_Toc217446035"/>
      <w:bookmarkStart w:id="55" w:name="_Toc505261840"/>
      <w:bookmarkStart w:id="56" w:name="_Toc24301"/>
      <w:bookmarkStart w:id="57" w:name="_Toc513468978"/>
      <w:bookmarkStart w:id="58" w:name="_Toc14336242"/>
      <w:bookmarkStart w:id="59" w:name="_Toc361325742"/>
      <w:bookmarkStart w:id="60" w:name="_Toc16870"/>
      <w:bookmarkStart w:id="61" w:name="_Toc7966"/>
      <w:bookmarkStart w:id="62" w:name="_Toc13250"/>
      <w:bookmarkStart w:id="63" w:name="_Toc465149294"/>
      <w:bookmarkStart w:id="64" w:name="_Toc9946"/>
      <w:bookmarkStart w:id="65" w:name="_Toc466391881"/>
      <w:bookmarkStart w:id="66" w:name="_Toc362988438"/>
      <w:bookmarkStart w:id="67" w:name="_Toc474502514"/>
      <w:bookmarkStart w:id="68" w:name="_Toc474326974"/>
      <w:bookmarkStart w:id="69" w:name="_Toc480453648"/>
      <w:bookmarkStart w:id="70" w:name="_Toc14301617"/>
      <w:bookmarkStart w:id="71" w:name="_Toc29183"/>
      <w:bookmarkStart w:id="72" w:name="_Toc361388550"/>
      <w:bookmarkStart w:id="73" w:name="_Toc444620283"/>
      <w:r>
        <w:rPr>
          <w:rFonts w:hint="eastAsia" w:ascii="仿宋_GB2312" w:hAnsi="仿宋_GB2312" w:eastAsia="仿宋_GB2312" w:cs="仿宋_GB2312"/>
          <w:color w:val="auto"/>
          <w:sz w:val="24"/>
          <w:szCs w:val="24"/>
        </w:rPr>
        <w:t>有关定义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2.1“比选人”系指本次比选活动的采购方。</w:t>
      </w:r>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2.2“比选申请人”系指获取了比选文件拟参加比选活动和向比选人提供服务的律师事务所。</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74" w:name="_Toc183582207"/>
      <w:bookmarkStart w:id="75" w:name="_Toc183682344"/>
      <w:bookmarkStart w:id="76" w:name="_Toc217390843"/>
      <w:bookmarkStart w:id="77" w:name="_Toc217446036"/>
      <w:bookmarkStart w:id="78" w:name="_Toc30072"/>
      <w:bookmarkStart w:id="79" w:name="_Toc474502515"/>
      <w:bookmarkStart w:id="80" w:name="_Toc513468979"/>
      <w:bookmarkStart w:id="81" w:name="_Toc32609"/>
      <w:bookmarkStart w:id="82" w:name="_Toc2091"/>
      <w:bookmarkStart w:id="83" w:name="_Toc14301618"/>
      <w:bookmarkStart w:id="84" w:name="_Toc11316"/>
      <w:bookmarkStart w:id="85" w:name="_Toc474326975"/>
      <w:bookmarkStart w:id="86" w:name="_Toc14336243"/>
      <w:bookmarkStart w:id="87" w:name="_Toc480453649"/>
      <w:bookmarkStart w:id="88" w:name="_Toc469403730"/>
      <w:bookmarkStart w:id="89" w:name="_Toc23605"/>
      <w:bookmarkStart w:id="90" w:name="_Toc20749"/>
      <w:bookmarkStart w:id="91" w:name="_Toc505261841"/>
      <w:r>
        <w:rPr>
          <w:rFonts w:hint="eastAsia" w:ascii="仿宋_GB2312" w:hAnsi="仿宋_GB2312" w:eastAsia="仿宋_GB2312" w:cs="仿宋_GB2312"/>
          <w:color w:val="auto"/>
          <w:sz w:val="24"/>
          <w:szCs w:val="24"/>
        </w:rPr>
        <w:t>合格的</w:t>
      </w:r>
      <w:bookmarkEnd w:id="74"/>
      <w:bookmarkEnd w:id="75"/>
      <w:bookmarkEnd w:id="76"/>
      <w:bookmarkEnd w:id="77"/>
      <w:r>
        <w:rPr>
          <w:rFonts w:hint="eastAsia" w:ascii="仿宋_GB2312" w:hAnsi="仿宋_GB2312" w:eastAsia="仿宋_GB2312" w:cs="仿宋_GB2312"/>
          <w:color w:val="auto"/>
          <w:sz w:val="24"/>
          <w:szCs w:val="24"/>
        </w:rPr>
        <w:t>比选申请人</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adjustRightInd w:val="0"/>
        <w:spacing w:line="560" w:lineRule="exact"/>
        <w:ind w:firstLine="480" w:firstLineChars="200"/>
        <w:rPr>
          <w:rFonts w:ascii="仿宋_GB2312" w:hAnsi="仿宋_GB2312" w:eastAsia="仿宋_GB2312" w:cs="仿宋_GB2312"/>
          <w:color w:val="auto"/>
          <w:spacing w:val="-4"/>
          <w:sz w:val="24"/>
        </w:rPr>
      </w:pPr>
      <w:r>
        <w:rPr>
          <w:rFonts w:hint="eastAsia" w:ascii="仿宋_GB2312" w:hAnsi="仿宋_GB2312" w:eastAsia="仿宋_GB2312" w:cs="仿宋_GB2312"/>
          <w:color w:val="auto"/>
          <w:sz w:val="24"/>
        </w:rPr>
        <w:t>3.1本比选文件规定的比选申请人的资格要求</w:t>
      </w:r>
      <w:r>
        <w:rPr>
          <w:rFonts w:hint="eastAsia" w:ascii="仿宋_GB2312" w:hAnsi="仿宋_GB2312" w:eastAsia="仿宋_GB2312" w:cs="仿宋_GB2312"/>
          <w:color w:val="auto"/>
          <w:spacing w:val="-4"/>
          <w:sz w:val="24"/>
        </w:rPr>
        <w:t>。</w:t>
      </w:r>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3.2 遵守国家有关的法律、法规、规章和其他政策制度。</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92" w:name="_Toc474326976"/>
      <w:bookmarkStart w:id="93" w:name="_Toc26743"/>
      <w:bookmarkStart w:id="94" w:name="_Toc480453650"/>
      <w:bookmarkStart w:id="95" w:name="_Toc14301619"/>
      <w:bookmarkStart w:id="96" w:name="_Toc505261842"/>
      <w:bookmarkStart w:id="97" w:name="_Toc6617"/>
      <w:bookmarkStart w:id="98" w:name="_Toc460"/>
      <w:bookmarkStart w:id="99" w:name="_Toc217446037"/>
      <w:bookmarkStart w:id="100" w:name="_Toc10177"/>
      <w:bookmarkStart w:id="101" w:name="_Toc31967"/>
      <w:bookmarkStart w:id="102" w:name="_Toc19314"/>
      <w:bookmarkStart w:id="103" w:name="_Toc183582208"/>
      <w:bookmarkStart w:id="104" w:name="_Toc469403731"/>
      <w:bookmarkStart w:id="105" w:name="_Toc14336244"/>
      <w:bookmarkStart w:id="106" w:name="_Toc474502516"/>
      <w:bookmarkStart w:id="107" w:name="_Toc183682345"/>
      <w:bookmarkStart w:id="108" w:name="_Toc513468980"/>
      <w:r>
        <w:rPr>
          <w:rFonts w:hint="eastAsia" w:ascii="仿宋_GB2312" w:hAnsi="仿宋_GB2312" w:eastAsia="仿宋_GB2312" w:cs="仿宋_GB2312"/>
          <w:color w:val="auto"/>
          <w:sz w:val="24"/>
          <w:szCs w:val="24"/>
        </w:rPr>
        <w:t>比选费用</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比选申请人参加比选的有关费用由比选申请人自行承担。本次比选不组织答疑会和现场考察。</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109" w:name="_Toc29910"/>
      <w:bookmarkStart w:id="110" w:name="_Toc17385"/>
      <w:bookmarkStart w:id="111" w:name="_Toc5426"/>
      <w:bookmarkStart w:id="112" w:name="_Toc22778"/>
      <w:bookmarkStart w:id="113" w:name="_Toc14301620"/>
      <w:bookmarkStart w:id="114" w:name="_Toc504051941"/>
      <w:bookmarkStart w:id="115" w:name="_Toc504054389"/>
      <w:bookmarkStart w:id="116" w:name="_Toc504054565"/>
      <w:bookmarkStart w:id="117" w:name="_Toc32101"/>
      <w:bookmarkStart w:id="118" w:name="_Toc4788"/>
      <w:bookmarkStart w:id="119" w:name="_Toc2744"/>
      <w:bookmarkStart w:id="120" w:name="_Toc14336245"/>
      <w:bookmarkStart w:id="121" w:name="_Toc504035834"/>
      <w:bookmarkStart w:id="122" w:name="_Toc11322"/>
      <w:bookmarkStart w:id="123" w:name="_Toc26717"/>
      <w:r>
        <w:rPr>
          <w:rFonts w:hint="eastAsia" w:ascii="仿宋_GB2312" w:hAnsi="仿宋_GB2312" w:eastAsia="仿宋_GB2312" w:cs="仿宋_GB2312"/>
          <w:color w:val="auto"/>
          <w:sz w:val="24"/>
          <w:szCs w:val="24"/>
        </w:rPr>
        <w:t>比选文件的澄清和修改</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通过报名邮箱以书面形式通知所有接收比选文件的比选申请人，不足3个工作日的，应当顺延提交比选申请书截止之日。</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124" w:name="_Toc504035838"/>
      <w:bookmarkStart w:id="125" w:name="_Toc6269"/>
      <w:bookmarkStart w:id="126" w:name="_Toc27212"/>
      <w:bookmarkStart w:id="127" w:name="_Toc14336247"/>
      <w:bookmarkStart w:id="128" w:name="_Toc1599"/>
      <w:bookmarkStart w:id="129" w:name="_Toc504054569"/>
      <w:bookmarkStart w:id="130" w:name="_Toc25286"/>
      <w:bookmarkStart w:id="131" w:name="_Toc504054393"/>
      <w:bookmarkStart w:id="132" w:name="_Toc27771"/>
      <w:bookmarkStart w:id="133" w:name="_Toc14543"/>
      <w:bookmarkStart w:id="134" w:name="_Toc30557"/>
      <w:bookmarkStart w:id="135" w:name="_Toc18304"/>
      <w:bookmarkStart w:id="136" w:name="_Toc2025"/>
      <w:bookmarkStart w:id="137" w:name="_Toc14301622"/>
      <w:bookmarkStart w:id="138" w:name="_Toc504051945"/>
      <w:r>
        <w:rPr>
          <w:rFonts w:hint="eastAsia" w:ascii="仿宋_GB2312" w:hAnsi="仿宋_GB2312" w:eastAsia="仿宋_GB2312" w:cs="仿宋_GB2312"/>
          <w:color w:val="auto"/>
          <w:sz w:val="24"/>
          <w:szCs w:val="24"/>
        </w:rPr>
        <w:t>比选申请书的语言</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adjustRightInd w:val="0"/>
        <w:spacing w:line="560" w:lineRule="exact"/>
        <w:ind w:firstLine="480" w:firstLineChars="200"/>
        <w:rPr>
          <w:rFonts w:ascii="仿宋_GB2312" w:hAnsi="仿宋_GB2312" w:eastAsia="仿宋_GB2312" w:cs="仿宋_GB2312"/>
          <w:color w:val="auto"/>
          <w:sz w:val="24"/>
        </w:rPr>
      </w:pPr>
      <w:bookmarkStart w:id="139" w:name="_Toc14336248"/>
      <w:bookmarkStart w:id="140" w:name="_Toc14301623"/>
      <w:r>
        <w:rPr>
          <w:rFonts w:hint="eastAsia" w:ascii="仿宋_GB2312" w:hAnsi="仿宋_GB2312" w:eastAsia="仿宋_GB2312" w:cs="仿宋_GB2312"/>
          <w:color w:val="auto"/>
          <w:sz w:val="24"/>
        </w:rPr>
        <w:t>6.1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w:t>
      </w:r>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6.2 翻译的简体中文资料与外文资料如果出现差异和矛盾，以简体中文版本为准。</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141" w:name="_Toc20396"/>
      <w:bookmarkStart w:id="142" w:name="_Toc12988"/>
      <w:bookmarkStart w:id="143" w:name="_Toc17939"/>
      <w:bookmarkStart w:id="144" w:name="_Toc5449"/>
      <w:r>
        <w:rPr>
          <w:rFonts w:hint="eastAsia" w:ascii="仿宋_GB2312" w:hAnsi="仿宋_GB2312" w:eastAsia="仿宋_GB2312" w:cs="仿宋_GB2312"/>
          <w:color w:val="auto"/>
          <w:sz w:val="24"/>
          <w:szCs w:val="24"/>
        </w:rPr>
        <w:t>参与比选报价货币</w:t>
      </w:r>
      <w:bookmarkEnd w:id="139"/>
      <w:bookmarkEnd w:id="140"/>
      <w:bookmarkEnd w:id="141"/>
      <w:bookmarkEnd w:id="142"/>
      <w:bookmarkEnd w:id="143"/>
      <w:bookmarkEnd w:id="144"/>
    </w:p>
    <w:p>
      <w:pPr>
        <w:adjustRightInd w:val="0"/>
        <w:spacing w:line="560" w:lineRule="exact"/>
        <w:ind w:firstLine="480" w:firstLineChars="200"/>
        <w:rPr>
          <w:rFonts w:ascii="仿宋_GB2312" w:hAnsi="仿宋_GB2312" w:eastAsia="仿宋_GB2312" w:cs="仿宋_GB2312"/>
          <w:color w:val="auto"/>
          <w:sz w:val="24"/>
        </w:rPr>
      </w:pPr>
      <w:bookmarkStart w:id="145" w:name="_Toc14336249"/>
      <w:bookmarkStart w:id="146" w:name="_Toc11001"/>
      <w:bookmarkStart w:id="147" w:name="_Toc14205"/>
      <w:bookmarkStart w:id="148" w:name="_Toc19337"/>
      <w:bookmarkStart w:id="149" w:name="_Toc14301624"/>
      <w:bookmarkStart w:id="150" w:name="_Toc1582"/>
      <w:r>
        <w:rPr>
          <w:rFonts w:hint="eastAsia" w:ascii="仿宋_GB2312" w:hAnsi="仿宋_GB2312" w:eastAsia="仿宋_GB2312" w:cs="仿宋_GB2312"/>
          <w:color w:val="auto"/>
          <w:sz w:val="24"/>
        </w:rPr>
        <w:t>参选机构应对比选报价进行严格的费用预算。所有参加本次比选的机构应充分计算和考虑其完成项目需要支付的各项费用，使用人民币报价；不得以低于成本的报价进行恶性竞争，最低比选报价并非中选的唯一条件。</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151" w:name="_Toc361325757"/>
      <w:bookmarkStart w:id="152" w:name="_Toc480453663"/>
      <w:bookmarkStart w:id="153" w:name="_Toc465149309"/>
      <w:bookmarkStart w:id="154" w:name="_Toc505261855"/>
      <w:bookmarkStart w:id="155" w:name="_Toc362988453"/>
      <w:bookmarkStart w:id="156" w:name="_Toc444620298"/>
      <w:bookmarkStart w:id="157" w:name="_Toc183682355"/>
      <w:bookmarkStart w:id="158" w:name="_Toc9395"/>
      <w:bookmarkStart w:id="159" w:name="_Toc183582218"/>
      <w:bookmarkStart w:id="160" w:name="_Toc466391896"/>
      <w:bookmarkStart w:id="161" w:name="_Toc361388565"/>
      <w:bookmarkStart w:id="162" w:name="_Toc474502529"/>
      <w:bookmarkStart w:id="163" w:name="_Toc24845"/>
      <w:bookmarkStart w:id="164" w:name="_Toc217446049"/>
      <w:bookmarkStart w:id="165" w:name="_Toc474326989"/>
      <w:bookmarkStart w:id="166" w:name="_Toc513468993"/>
      <w:r>
        <w:rPr>
          <w:rFonts w:hint="eastAsia" w:ascii="仿宋_GB2312" w:hAnsi="仿宋_GB2312" w:eastAsia="仿宋_GB2312" w:cs="仿宋_GB2312"/>
          <w:color w:val="auto"/>
          <w:sz w:val="24"/>
          <w:szCs w:val="24"/>
        </w:rPr>
        <w:t>比选申请书格式</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hint="eastAsia" w:ascii="仿宋_GB2312" w:hAnsi="仿宋_GB2312" w:eastAsia="仿宋_GB2312" w:cs="仿宋_GB2312"/>
          <w:color w:val="auto"/>
          <w:sz w:val="24"/>
          <w:szCs w:val="24"/>
        </w:rPr>
        <w:tab/>
      </w:r>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比选申请人应执行比选文件第四章的规定要求，对于没有格式要求的部分由比选申请人自行编写。</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167" w:name="_Toc6382"/>
      <w:bookmarkStart w:id="168" w:name="_Toc25148"/>
      <w:bookmarkStart w:id="169" w:name="_Toc474326991"/>
      <w:bookmarkStart w:id="170" w:name="_Toc505261857"/>
      <w:bookmarkStart w:id="171" w:name="_Toc29834"/>
      <w:bookmarkStart w:id="172" w:name="_Toc26194"/>
      <w:bookmarkStart w:id="173" w:name="_Toc183582224"/>
      <w:bookmarkStart w:id="174" w:name="_Toc513468995"/>
      <w:bookmarkStart w:id="175" w:name="_Toc18346"/>
      <w:bookmarkStart w:id="176" w:name="_Toc469403746"/>
      <w:bookmarkStart w:id="177" w:name="_Toc14336250"/>
      <w:bookmarkStart w:id="178" w:name="_Toc217446051"/>
      <w:bookmarkStart w:id="179" w:name="_Toc474502531"/>
      <w:bookmarkStart w:id="180" w:name="_Toc14301625"/>
      <w:bookmarkStart w:id="181" w:name="_Toc17700"/>
      <w:bookmarkStart w:id="182" w:name="_Toc308164801"/>
      <w:bookmarkStart w:id="183" w:name="_Toc480453665"/>
      <w:bookmarkStart w:id="184" w:name="_Toc183682361"/>
      <w:r>
        <w:rPr>
          <w:rFonts w:hint="eastAsia" w:ascii="仿宋_GB2312" w:hAnsi="仿宋_GB2312" w:eastAsia="仿宋_GB2312" w:cs="仿宋_GB2312"/>
          <w:color w:val="auto"/>
          <w:sz w:val="24"/>
          <w:szCs w:val="24"/>
        </w:rPr>
        <w:t>比选有效期</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比选有效期为比选申请书递交截止时间届满后90天。比选申请人在比选申请书中必须载明比选有效期，比选申请书中载明的比选有效期可以长于比选文件规定的期限，但不得短于比选文件规定的期限。否则，其比选申请书将作为无效处理。</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185" w:name="_Toc183582227"/>
      <w:bookmarkStart w:id="186" w:name="_Toc183682364"/>
      <w:bookmarkStart w:id="187" w:name="_Toc474326994"/>
      <w:bookmarkStart w:id="188" w:name="_Toc513468998"/>
      <w:bookmarkStart w:id="189" w:name="_Toc217446054"/>
      <w:bookmarkStart w:id="190" w:name="_Toc308164804"/>
      <w:bookmarkStart w:id="191" w:name="_Toc480453668"/>
      <w:bookmarkStart w:id="192" w:name="_Toc469403749"/>
      <w:bookmarkStart w:id="193" w:name="_Toc474502534"/>
      <w:bookmarkStart w:id="194" w:name="_Toc4735"/>
      <w:bookmarkStart w:id="195" w:name="_Toc28318"/>
      <w:bookmarkStart w:id="196" w:name="_Toc14301626"/>
      <w:bookmarkStart w:id="197" w:name="_Toc11976"/>
      <w:bookmarkStart w:id="198" w:name="_Toc11118"/>
      <w:bookmarkStart w:id="199" w:name="_Toc505261860"/>
      <w:bookmarkStart w:id="200" w:name="_Toc31719"/>
      <w:bookmarkStart w:id="201" w:name="_Toc18366"/>
      <w:bookmarkStart w:id="202" w:name="_Toc14336251"/>
      <w:r>
        <w:rPr>
          <w:rFonts w:hint="eastAsia" w:ascii="仿宋_GB2312" w:hAnsi="仿宋_GB2312" w:eastAsia="仿宋_GB2312" w:cs="仿宋_GB2312"/>
          <w:color w:val="auto"/>
          <w:sz w:val="24"/>
          <w:szCs w:val="24"/>
        </w:rPr>
        <w:t>比选申请书的</w:t>
      </w:r>
      <w:bookmarkEnd w:id="185"/>
      <w:bookmarkEnd w:id="186"/>
      <w:r>
        <w:rPr>
          <w:rFonts w:hint="eastAsia" w:ascii="仿宋_GB2312" w:hAnsi="仿宋_GB2312" w:eastAsia="仿宋_GB2312" w:cs="仿宋_GB2312"/>
          <w:color w:val="auto"/>
          <w:sz w:val="24"/>
          <w:szCs w:val="24"/>
        </w:rPr>
        <w:t>递交</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203" w:name="_Toc183682365"/>
      <w:bookmarkStart w:id="204" w:name="_Toc183582228"/>
      <w:bookmarkStart w:id="205" w:name="_Toc9560"/>
      <w:bookmarkStart w:id="206" w:name="_Toc480453669"/>
      <w:bookmarkStart w:id="207" w:name="_Toc474326995"/>
      <w:bookmarkStart w:id="208" w:name="_Toc513468999"/>
      <w:bookmarkStart w:id="209" w:name="_Toc32552"/>
      <w:bookmarkStart w:id="210" w:name="_Toc3240"/>
      <w:bookmarkStart w:id="211" w:name="_Toc1663"/>
      <w:bookmarkStart w:id="212" w:name="_Toc14336252"/>
      <w:bookmarkStart w:id="213" w:name="_Toc469403750"/>
      <w:bookmarkStart w:id="214" w:name="_Toc217446055"/>
      <w:bookmarkStart w:id="215" w:name="_Toc474502535"/>
      <w:bookmarkStart w:id="216" w:name="_Toc3621"/>
      <w:bookmarkStart w:id="217" w:name="_Toc7462"/>
      <w:bookmarkStart w:id="218" w:name="_Toc14301627"/>
      <w:bookmarkStart w:id="219" w:name="_Toc505261861"/>
      <w:r>
        <w:rPr>
          <w:rFonts w:hint="eastAsia" w:ascii="仿宋_GB2312" w:hAnsi="仿宋_GB2312" w:eastAsia="仿宋_GB2312" w:cs="仿宋_GB2312"/>
          <w:color w:val="auto"/>
          <w:sz w:val="24"/>
          <w:szCs w:val="24"/>
        </w:rPr>
        <w:t>比选申请书的修改和撤</w:t>
      </w:r>
      <w:bookmarkEnd w:id="203"/>
      <w:bookmarkEnd w:id="204"/>
      <w:r>
        <w:rPr>
          <w:rFonts w:hint="eastAsia" w:ascii="仿宋_GB2312" w:hAnsi="仿宋_GB2312" w:eastAsia="仿宋_GB2312" w:cs="仿宋_GB2312"/>
          <w:color w:val="auto"/>
          <w:sz w:val="24"/>
          <w:szCs w:val="24"/>
        </w:rPr>
        <w:t>回</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11.1 比选申请人在递交了比选申请书后，可以修改或撤回其比选申请书，但必须在规定的递交比选文件截止时间前，以书面形式通知比选人。</w:t>
      </w:r>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11.2在比选申请书递交截止时间之后，比选申请人不得对其递交的比选申请书做任何修改及撤回。</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220" w:name="_Toc21815"/>
      <w:bookmarkStart w:id="221" w:name="_Toc29745"/>
      <w:bookmarkStart w:id="222" w:name="_Toc10432"/>
      <w:bookmarkStart w:id="223" w:name="_Toc25628"/>
      <w:r>
        <w:rPr>
          <w:rFonts w:hint="eastAsia" w:ascii="仿宋_GB2312" w:hAnsi="仿宋_GB2312" w:eastAsia="仿宋_GB2312" w:cs="仿宋_GB2312"/>
          <w:color w:val="auto"/>
          <w:sz w:val="24"/>
          <w:szCs w:val="24"/>
        </w:rPr>
        <w:t>中选通知书</w:t>
      </w:r>
      <w:bookmarkEnd w:id="220"/>
      <w:bookmarkEnd w:id="221"/>
      <w:bookmarkEnd w:id="222"/>
      <w:bookmarkEnd w:id="223"/>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比选人对确定的中选人发放中选通知书，未中选人不另发通知。中选通知书为签订合同的依据之一，是合同的有效组成部分。</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224" w:name="_Toc308164811"/>
      <w:bookmarkStart w:id="225" w:name="_Toc480453677"/>
      <w:bookmarkStart w:id="226" w:name="_Toc30793"/>
      <w:bookmarkStart w:id="227" w:name="_Toc16953"/>
      <w:bookmarkStart w:id="228" w:name="_Toc469403755"/>
      <w:bookmarkStart w:id="229" w:name="_Toc17978"/>
      <w:bookmarkStart w:id="230" w:name="_Toc513469007"/>
      <w:bookmarkStart w:id="231" w:name="_Toc505261869"/>
      <w:bookmarkStart w:id="232" w:name="_Toc217446065"/>
      <w:bookmarkStart w:id="233" w:name="_Toc14336254"/>
      <w:bookmarkStart w:id="234" w:name="_Toc8200"/>
      <w:bookmarkStart w:id="235" w:name="_Toc474327003"/>
      <w:bookmarkStart w:id="236" w:name="_Toc474502543"/>
      <w:bookmarkStart w:id="237" w:name="_Toc22962"/>
      <w:bookmarkStart w:id="238" w:name="_Toc32005"/>
      <w:bookmarkStart w:id="239" w:name="_Toc14301629"/>
      <w:r>
        <w:rPr>
          <w:rFonts w:hint="eastAsia" w:ascii="仿宋_GB2312" w:hAnsi="仿宋_GB2312" w:eastAsia="仿宋_GB2312" w:cs="仿宋_GB2312"/>
          <w:color w:val="auto"/>
          <w:sz w:val="24"/>
          <w:szCs w:val="24"/>
        </w:rPr>
        <w:t>签订合同</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中选人应在中选通知书发出之日起30日内与比选人签订合同，中选人无故不签订合同或放弃中选的，比选人可以与排在中选人之后第一位的中选候选人签订合同，以此类推。</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240" w:name="_Toc513469008"/>
      <w:bookmarkStart w:id="241" w:name="_Toc480453678"/>
      <w:bookmarkStart w:id="242" w:name="_Toc16727"/>
      <w:bookmarkStart w:id="243" w:name="_Toc28310"/>
      <w:bookmarkStart w:id="244" w:name="_Toc14301630"/>
      <w:bookmarkStart w:id="245" w:name="_Toc474502544"/>
      <w:bookmarkStart w:id="246" w:name="_Toc14336255"/>
      <w:bookmarkStart w:id="247" w:name="_Toc9244"/>
      <w:bookmarkStart w:id="248" w:name="_Toc18127"/>
      <w:bookmarkStart w:id="249" w:name="_Toc505261870"/>
      <w:bookmarkStart w:id="250" w:name="_Toc23832"/>
      <w:bookmarkStart w:id="251" w:name="_Toc469403756"/>
      <w:bookmarkStart w:id="252" w:name="_Toc474327004"/>
      <w:bookmarkStart w:id="253" w:name="_Toc820"/>
      <w:r>
        <w:rPr>
          <w:rFonts w:hint="eastAsia" w:ascii="仿宋_GB2312" w:hAnsi="仿宋_GB2312" w:eastAsia="仿宋_GB2312" w:cs="仿宋_GB2312"/>
          <w:color w:val="auto"/>
          <w:sz w:val="24"/>
          <w:szCs w:val="24"/>
        </w:rPr>
        <w:t>合同分包</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本项目不允许分包。</w:t>
      </w:r>
    </w:p>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254" w:name="_Toc26320"/>
      <w:bookmarkStart w:id="255" w:name="_Toc474327005"/>
      <w:bookmarkStart w:id="256" w:name="_Toc505261871"/>
      <w:bookmarkStart w:id="257" w:name="_Toc14336256"/>
      <w:bookmarkStart w:id="258" w:name="_Toc10585"/>
      <w:bookmarkStart w:id="259" w:name="_Toc480453679"/>
      <w:bookmarkStart w:id="260" w:name="_Toc10843"/>
      <w:bookmarkStart w:id="261" w:name="_Toc469403757"/>
      <w:bookmarkStart w:id="262" w:name="_Toc11503"/>
      <w:bookmarkStart w:id="263" w:name="_Toc513469009"/>
      <w:bookmarkStart w:id="264" w:name="_Toc474502545"/>
      <w:bookmarkStart w:id="265" w:name="_Toc22181"/>
      <w:bookmarkStart w:id="266" w:name="_Toc14301631"/>
      <w:bookmarkStart w:id="267" w:name="_Toc14666"/>
      <w:r>
        <w:rPr>
          <w:rFonts w:hint="eastAsia" w:ascii="仿宋_GB2312" w:hAnsi="仿宋_GB2312" w:eastAsia="仿宋_GB2312" w:cs="仿宋_GB2312"/>
          <w:color w:val="auto"/>
          <w:sz w:val="24"/>
          <w:szCs w:val="24"/>
        </w:rPr>
        <w:t>合同转包</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15.1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pPr>
        <w:adjustRightInd w:val="0"/>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15.2中选人转包的，视同拒绝履行采购合同义务，将依法追究法律责任。</w:t>
      </w:r>
    </w:p>
    <w:bookmarkEnd w:id="29"/>
    <w:bookmarkEnd w:id="30"/>
    <w:bookmarkEnd w:id="31"/>
    <w:bookmarkEnd w:id="32"/>
    <w:bookmarkEnd w:id="33"/>
    <w:p>
      <w:pPr>
        <w:pStyle w:val="5"/>
        <w:numPr>
          <w:ilvl w:val="0"/>
          <w:numId w:val="7"/>
        </w:numPr>
        <w:adjustRightInd w:val="0"/>
        <w:spacing w:before="0" w:after="0" w:line="560" w:lineRule="exact"/>
        <w:ind w:firstLine="482" w:firstLineChars="200"/>
        <w:rPr>
          <w:rFonts w:ascii="仿宋_GB2312" w:hAnsi="仿宋_GB2312" w:eastAsia="仿宋_GB2312" w:cs="仿宋_GB2312"/>
          <w:color w:val="auto"/>
          <w:sz w:val="24"/>
          <w:szCs w:val="24"/>
        </w:rPr>
      </w:pPr>
      <w:bookmarkStart w:id="268" w:name="_Toc217446067"/>
      <w:bookmarkStart w:id="269" w:name="_Toc183582240"/>
      <w:bookmarkStart w:id="270" w:name="_Toc183682377"/>
      <w:bookmarkStart w:id="271" w:name="PO_默认文件内容_20"/>
      <w:r>
        <w:rPr>
          <w:rFonts w:hint="eastAsia" w:ascii="仿宋_GB2312" w:hAnsi="仿宋_GB2312" w:eastAsia="仿宋_GB2312" w:cs="仿宋_GB2312"/>
          <w:color w:val="auto"/>
          <w:sz w:val="24"/>
          <w:szCs w:val="24"/>
        </w:rPr>
        <w:t>比选人增加合同标的权</w:t>
      </w:r>
      <w:bookmarkEnd w:id="268"/>
      <w:r>
        <w:rPr>
          <w:rFonts w:hint="eastAsia" w:ascii="仿宋_GB2312" w:hAnsi="仿宋_GB2312" w:eastAsia="仿宋_GB2312" w:cs="仿宋_GB2312"/>
          <w:color w:val="auto"/>
          <w:sz w:val="24"/>
          <w:szCs w:val="24"/>
        </w:rPr>
        <w:t>利</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合同履行过程中，比选人需要追加与合同标的相同的服务的，在不改变合同其他条款的前提下，可以与中标比选申请人协商签订补充合同，但所有补充合同金额不得超过原合同金额的百分之十。</w:t>
      </w:r>
      <w:bookmarkEnd w:id="269"/>
      <w:bookmarkEnd w:id="270"/>
      <w:bookmarkEnd w:id="271"/>
      <w:bookmarkStart w:id="272" w:name="_Toc217446093"/>
      <w:bookmarkStart w:id="273" w:name="PO_默认文件内容_10"/>
    </w:p>
    <w:p>
      <w:pPr>
        <w:spacing w:line="560" w:lineRule="exact"/>
        <w:ind w:firstLine="480" w:firstLineChars="200"/>
        <w:rPr>
          <w:rFonts w:ascii="仿宋" w:eastAsia="仿宋"/>
          <w:color w:val="auto"/>
          <w:sz w:val="36"/>
        </w:rPr>
      </w:pPr>
      <w:r>
        <w:rPr>
          <w:rFonts w:hint="eastAsia" w:ascii="仿宋_GB2312" w:hAnsi="仿宋_GB2312" w:eastAsia="仿宋_GB2312" w:cs="仿宋_GB2312"/>
          <w:color w:val="auto"/>
          <w:sz w:val="24"/>
        </w:rPr>
        <w:br w:type="page"/>
      </w:r>
    </w:p>
    <w:p>
      <w:pPr>
        <w:numPr>
          <w:ilvl w:val="0"/>
          <w:numId w:val="3"/>
        </w:numPr>
        <w:spacing w:line="560" w:lineRule="exact"/>
        <w:ind w:firstLine="0"/>
        <w:jc w:val="center"/>
        <w:outlineLvl w:val="0"/>
        <w:rPr>
          <w:rFonts w:ascii="方正小标宋简体" w:hAnsi="方正小标宋简体" w:eastAsia="方正小标宋简体" w:cs="方正小标宋简体"/>
          <w:color w:val="auto"/>
          <w:kern w:val="2"/>
          <w:sz w:val="32"/>
          <w:szCs w:val="32"/>
        </w:rPr>
      </w:pPr>
      <w:bookmarkStart w:id="274" w:name="_Toc10747"/>
      <w:bookmarkStart w:id="275" w:name="_Toc31107"/>
      <w:r>
        <w:rPr>
          <w:rFonts w:hint="eastAsia" w:ascii="方正小标宋简体" w:hAnsi="方正小标宋简体" w:eastAsia="方正小标宋简体" w:cs="方正小标宋简体"/>
          <w:color w:val="auto"/>
          <w:kern w:val="2"/>
          <w:sz w:val="32"/>
          <w:szCs w:val="32"/>
        </w:rPr>
        <w:t>比选项目及要求</w:t>
      </w:r>
      <w:bookmarkEnd w:id="272"/>
      <w:bookmarkEnd w:id="274"/>
      <w:bookmarkEnd w:id="275"/>
    </w:p>
    <w:p>
      <w:pPr>
        <w:spacing w:line="540" w:lineRule="exact"/>
        <w:ind w:firstLine="482" w:firstLineChars="200"/>
        <w:rPr>
          <w:rFonts w:ascii="仿宋" w:eastAsia="仿宋"/>
          <w:b/>
          <w:bCs/>
          <w:color w:val="auto"/>
          <w:sz w:val="24"/>
          <w:szCs w:val="24"/>
        </w:rPr>
      </w:pPr>
      <w:bookmarkStart w:id="276" w:name="_Toc217446094"/>
      <w:bookmarkStart w:id="277" w:name="_Toc217446095"/>
    </w:p>
    <w:p>
      <w:pPr>
        <w:spacing w:line="540" w:lineRule="exact"/>
        <w:ind w:firstLine="482" w:firstLineChars="200"/>
        <w:rPr>
          <w:rFonts w:ascii="仿宋" w:eastAsia="仿宋"/>
          <w:b/>
          <w:bCs/>
          <w:color w:val="auto"/>
          <w:sz w:val="24"/>
          <w:szCs w:val="24"/>
        </w:rPr>
      </w:pPr>
      <w:r>
        <w:rPr>
          <w:rFonts w:hint="eastAsia" w:ascii="仿宋" w:eastAsia="仿宋"/>
          <w:b/>
          <w:bCs/>
          <w:color w:val="auto"/>
          <w:sz w:val="24"/>
          <w:szCs w:val="24"/>
        </w:rPr>
        <w:t>前提：本章中标注“★”的条款为本项目的实质性条款，比选申请人不满足的，将按照无效比选处理。</w:t>
      </w:r>
    </w:p>
    <w:p>
      <w:pPr>
        <w:pStyle w:val="4"/>
        <w:tabs>
          <w:tab w:val="left" w:pos="0"/>
          <w:tab w:val="left" w:pos="720"/>
        </w:tabs>
        <w:spacing w:before="0" w:after="0" w:line="540" w:lineRule="exact"/>
        <w:ind w:firstLine="560" w:firstLineChars="200"/>
        <w:jc w:val="left"/>
        <w:rPr>
          <w:rFonts w:ascii="黑体" w:hAnsi="黑体" w:cs="黑体"/>
          <w:b w:val="0"/>
          <w:color w:val="auto"/>
          <w:kern w:val="2"/>
          <w:sz w:val="28"/>
          <w:szCs w:val="28"/>
        </w:rPr>
      </w:pPr>
      <w:bookmarkStart w:id="278" w:name="_Hlk135902155"/>
      <w:r>
        <w:rPr>
          <w:rFonts w:hint="eastAsia" w:ascii="黑体" w:hAnsi="黑体" w:cs="黑体"/>
          <w:b w:val="0"/>
          <w:color w:val="auto"/>
          <w:kern w:val="2"/>
          <w:sz w:val="28"/>
          <w:szCs w:val="28"/>
        </w:rPr>
        <w:t>一、项目概述</w:t>
      </w:r>
      <w:bookmarkEnd w:id="276"/>
    </w:p>
    <w:bookmarkEnd w:id="273"/>
    <w:p>
      <w:pPr>
        <w:spacing w:line="560" w:lineRule="exact"/>
        <w:ind w:firstLine="480" w:firstLineChars="200"/>
        <w:rPr>
          <w:rFonts w:ascii="仿宋_GB2312" w:hAnsi="仿宋_GB2312" w:eastAsia="仿宋_GB2312" w:cs="仿宋_GB2312"/>
          <w:color w:val="auto"/>
          <w:sz w:val="24"/>
        </w:rPr>
      </w:pPr>
      <w:bookmarkStart w:id="279" w:name="PO_默认文件内容_43"/>
      <w:r>
        <w:rPr>
          <w:rFonts w:hint="eastAsia" w:ascii="仿宋_GB2312" w:hAnsi="仿宋_GB2312" w:eastAsia="仿宋_GB2312" w:cs="仿宋_GB2312"/>
          <w:color w:val="auto"/>
          <w:sz w:val="24"/>
        </w:rPr>
        <w:t>原告：雷波正向物流有限责任公司（以下简称“正向物流公司”）</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被告：四川交投物流有限公司（比选人曾用名，以下简称“交投物流公司”）</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2022年2月正向物流公司向四川省雷波县人民法院（以下简称“雷波法院”）提起诉讼，请求判令：1.解除原被告双方签订的《钢材仓储合同》；2.赔偿损失12789359.21元，赔偿原告拖欠服务费214470.16元；3.并由被告承担全部诉讼费用。立案后，交投物流公司代理律所向雷波法院提交管辖权异议申请书，雷波法院受理后作出(2022)川3437民初333号《民事裁定书》，认为本案属于港口作业纠纷，应当由港口所在地人民法院即雷波法院管辖，遂裁定驳回比选人提出的管辖权异议。</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2022年9月2日雷波法院就此案进行开庭，并于2022年12月28日，作出(2022)川3437民初333号《民事判决书》，判令：1.解除原告正向物流公司与被告交投物流公司于2021年3月31日签的《钢储合同》；2.被告于本判决生效之日起三十日内支付原告正向物流公司服务费214470.16元；3.驳回原告正向物流公司的其他诉讼请求，案件受理费99838元由原告正向物流公司负担99818元，被告交投物流公司负担20元。</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上述《判决书》作出后，正向物流向凉山中院提起了上诉，请求:1.变更(2022)川3437民初333号《民事判决书》第二项为“被告交投物流公司于本判决生效之日起三十日内支付原告正向物流公司服务费214470.16元;2.撤销(2022)川3437民初333号《民事判决书》的第三项；3.改判支持上诉人在一审中的第二项诉讼请求，即被上诉人应赔偿上诉人损失12789359.21元；4.判令被上诉人承担本案一审、二审全部诉讼费用。凉山中院依法受理了上诉人提起的上诉案号:(2023)川34民终2159号，二审于2023年10月10日在凉山中院第九法庭开庭,并裁定撤销四川省雷波县人民法院（2022）川3437民初333号民事判决、发回四川省雷波县人民法院重审。</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2024年1月2日，比选人收到雷波县人民法院《（2023）川3437民初167</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号受理案件通知书》，通知该重审案件已于2024年1月2日再次立案，并告知比选人应诉事项。为维护比选人的合法权益，现需采购诉讼代理法律服务。</w:t>
      </w:r>
    </w:p>
    <w:p>
      <w:pPr>
        <w:pStyle w:val="4"/>
        <w:tabs>
          <w:tab w:val="left" w:pos="0"/>
          <w:tab w:val="left" w:pos="720"/>
        </w:tabs>
        <w:spacing w:before="0" w:after="0" w:line="54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★二．商务要求</w:t>
      </w:r>
    </w:p>
    <w:p>
      <w:pPr>
        <w:spacing w:line="560" w:lineRule="exact"/>
        <w:ind w:firstLine="480" w:firstLineChars="200"/>
        <w:rPr>
          <w:rFonts w:ascii="仿宋_GB2312" w:hAnsi="仿宋_GB2312" w:eastAsia="仿宋_GB2312" w:cs="仿宋_GB2312"/>
          <w:color w:val="auto"/>
          <w:sz w:val="24"/>
        </w:rPr>
      </w:pPr>
      <w:r>
        <w:rPr>
          <w:rFonts w:hint="eastAsia" w:ascii="方正楷体_GB2312" w:hAnsi="方正楷体_GB2312" w:eastAsia="方正楷体_GB2312" w:cs="方正楷体_GB2312"/>
          <w:color w:val="auto"/>
          <w:sz w:val="24"/>
        </w:rPr>
        <w:t>（一）服务期限：</w:t>
      </w:r>
      <w:r>
        <w:rPr>
          <w:rFonts w:hint="eastAsia" w:ascii="仿宋_GB2312" w:hAnsi="仿宋_GB2312" w:eastAsia="仿宋_GB2312" w:cs="仿宋_GB2312"/>
          <w:color w:val="auto"/>
          <w:sz w:val="24"/>
        </w:rPr>
        <w:t>自合同签订之日起至本案发回重审的一审、二审（如有）、执行（如有）。</w:t>
      </w:r>
    </w:p>
    <w:p>
      <w:pPr>
        <w:spacing w:line="560" w:lineRule="exact"/>
        <w:ind w:firstLine="480" w:firstLineChars="200"/>
        <w:rPr>
          <w:rFonts w:ascii="仿宋_GB2312" w:hAnsi="仿宋_GB2312" w:eastAsia="仿宋_GB2312" w:cs="仿宋_GB2312"/>
          <w:color w:val="auto"/>
          <w:sz w:val="24"/>
        </w:rPr>
      </w:pPr>
      <w:r>
        <w:rPr>
          <w:rFonts w:hint="eastAsia" w:ascii="方正楷体_GB2312" w:hAnsi="方正楷体_GB2312" w:eastAsia="方正楷体_GB2312" w:cs="方正楷体_GB2312"/>
          <w:color w:val="auto"/>
          <w:sz w:val="24"/>
        </w:rPr>
        <w:t>（二）服务地点：</w:t>
      </w:r>
      <w:r>
        <w:rPr>
          <w:rFonts w:hint="eastAsia" w:ascii="仿宋_GB2312" w:hAnsi="仿宋_GB2312" w:eastAsia="仿宋_GB2312" w:cs="仿宋_GB2312"/>
          <w:color w:val="auto"/>
          <w:sz w:val="24"/>
        </w:rPr>
        <w:t>雷波县人民法院和诉讼涉及的各级审判机关。</w:t>
      </w:r>
    </w:p>
    <w:p>
      <w:pPr>
        <w:spacing w:line="560" w:lineRule="exact"/>
        <w:ind w:firstLine="480" w:firstLineChars="200"/>
        <w:rPr>
          <w:rFonts w:ascii="方正楷体_GB2312" w:hAnsi="方正楷体_GB2312" w:eastAsia="方正楷体_GB2312" w:cs="方正楷体_GB2312"/>
          <w:color w:val="auto"/>
          <w:sz w:val="24"/>
        </w:rPr>
      </w:pPr>
      <w:r>
        <w:rPr>
          <w:rFonts w:hint="eastAsia" w:ascii="方正楷体_GB2312" w:hAnsi="方正楷体_GB2312" w:eastAsia="方正楷体_GB2312" w:cs="方正楷体_GB2312"/>
          <w:color w:val="auto"/>
          <w:sz w:val="24"/>
        </w:rPr>
        <w:t>（三）付款相关：</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1.基础代理费：包括所有诉讼程序中的代理费、差旅费、利润、风险、税金等完成本项目所有费用，最高限价12万元。比选人在签订合同且收到中标人全额增值税专用发票后5日内支付全部基础代理费用。</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2.风险代理费：以原告诉讼请求金额与生效法律文书（包括判决书、调解书、和解协议）明确比选人实际赔付金额的差额部分为计算风险代理费的基数，风险代理费=报价比例*基数。计费标准及支付条件如下：</w:t>
      </w:r>
    </w:p>
    <w:p>
      <w:pPr>
        <w:spacing w:line="560" w:lineRule="exact"/>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（1）当比选人实际赔付金额不超过原告诉讼请求金额12,789,359.21元的50%（即6,394,679.60元）时，按下列方式计算风险代理费，否则比选人仅支付基础代理费用</w:t>
      </w:r>
      <w:r>
        <w:rPr>
          <w:rFonts w:hint="eastAsia" w:ascii="仿宋_GB2312" w:hAnsi="仿宋_GB2312" w:eastAsia="仿宋_GB2312" w:cs="仿宋_GB2312"/>
          <w:color w:val="auto"/>
          <w:sz w:val="24"/>
          <w:lang w:eastAsia="zh-CN"/>
        </w:rPr>
        <w:t>；</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（2）基数为0万元（不含）-100万元（含）时，风险代理费报价比例最高限8%，最高限价8万元；</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（3）基数为100万元（不含）-500万元（含）时，风险代理费报价比例最高限6%，最高限价24万元；</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（4）基数为5,000,000.00元（不含）-6,394,679.61元（含）时，风险代理费报价比例最高限3%，最高限价4万元；</w:t>
      </w:r>
    </w:p>
    <w:tbl>
      <w:tblPr>
        <w:tblStyle w:val="32"/>
        <w:tblW w:w="8979" w:type="dxa"/>
        <w:tblInd w:w="93" w:type="dxa"/>
        <w:tblLayout w:type="fixed"/>
        <w:tblCellMar>
          <w:top w:w="0" w:type="dxa"/>
          <w:left w:w="108" w:type="dxa"/>
          <w:bottom w:w="0" w:type="dxa"/>
          <w:right w:w="108" w:type="dxa"/>
        </w:tblCellMar>
      </w:tblPr>
      <w:tblGrid>
        <w:gridCol w:w="1764"/>
        <w:gridCol w:w="4551"/>
        <w:gridCol w:w="1332"/>
        <w:gridCol w:w="1332"/>
      </w:tblGrid>
      <w:tr>
        <w:tblPrEx>
          <w:tblCellMar>
            <w:top w:w="0" w:type="dxa"/>
            <w:left w:w="108" w:type="dxa"/>
            <w:bottom w:w="0" w:type="dxa"/>
            <w:right w:w="108" w:type="dxa"/>
          </w:tblCellMar>
        </w:tblPrEx>
        <w:trPr>
          <w:trHeight w:val="18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sz w:val="21"/>
                <w:szCs w:val="21"/>
              </w:rPr>
            </w:pPr>
            <w:r>
              <w:rPr>
                <w:rFonts w:hint="eastAsia" w:ascii="黑体" w:hAnsi="黑体" w:eastAsia="黑体" w:cs="黑体"/>
                <w:color w:val="auto"/>
                <w:sz w:val="21"/>
                <w:szCs w:val="21"/>
                <w:lang w:bidi="ar"/>
              </w:rPr>
              <w:t>风险代理费率</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sz w:val="21"/>
                <w:szCs w:val="21"/>
              </w:rPr>
            </w:pPr>
            <w:r>
              <w:rPr>
                <w:rFonts w:hint="eastAsia" w:ascii="黑体" w:hAnsi="黑体" w:eastAsia="黑体" w:cs="黑体"/>
                <w:color w:val="auto"/>
                <w:sz w:val="21"/>
                <w:szCs w:val="21"/>
              </w:rPr>
              <w:t>基数</w:t>
            </w:r>
          </w:p>
          <w:p>
            <w:pPr>
              <w:widowControl/>
              <w:jc w:val="center"/>
              <w:textAlignment w:val="center"/>
              <w:rPr>
                <w:rFonts w:ascii="黑体" w:hAnsi="黑体" w:eastAsia="黑体" w:cs="黑体"/>
                <w:color w:val="auto"/>
                <w:sz w:val="21"/>
                <w:szCs w:val="21"/>
              </w:rPr>
            </w:pPr>
            <w:r>
              <w:rPr>
                <w:rFonts w:hint="eastAsia" w:ascii="黑体" w:hAnsi="黑体" w:eastAsia="黑体" w:cs="黑体"/>
                <w:color w:val="auto"/>
                <w:sz w:val="21"/>
                <w:szCs w:val="21"/>
              </w:rPr>
              <w:t>（原告诉讼请求金额-比选人实际赔付金额）</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sz w:val="21"/>
                <w:szCs w:val="21"/>
              </w:rPr>
            </w:pPr>
            <w:r>
              <w:rPr>
                <w:rFonts w:hint="eastAsia" w:ascii="黑体" w:hAnsi="黑体" w:eastAsia="黑体" w:cs="黑体"/>
                <w:color w:val="auto"/>
                <w:sz w:val="21"/>
                <w:szCs w:val="21"/>
                <w:lang w:bidi="ar"/>
              </w:rPr>
              <w:t>最高比例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auto"/>
                <w:sz w:val="21"/>
                <w:szCs w:val="21"/>
                <w:lang w:bidi="ar"/>
              </w:rPr>
            </w:pPr>
            <w:r>
              <w:rPr>
                <w:rFonts w:hint="eastAsia" w:ascii="黑体" w:hAnsi="黑体" w:eastAsia="黑体" w:cs="黑体"/>
                <w:color w:val="auto"/>
                <w:sz w:val="21"/>
                <w:szCs w:val="21"/>
                <w:lang w:bidi="ar"/>
              </w:rPr>
              <w:t>最高限价</w:t>
            </w:r>
          </w:p>
        </w:tc>
      </w:tr>
      <w:tr>
        <w:tblPrEx>
          <w:tblCellMar>
            <w:top w:w="0" w:type="dxa"/>
            <w:left w:w="108" w:type="dxa"/>
            <w:bottom w:w="0" w:type="dxa"/>
            <w:right w:w="108" w:type="dxa"/>
          </w:tblCellMar>
        </w:tblPrEx>
        <w:trPr>
          <w:trHeight w:val="27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bidi="ar"/>
              </w:rPr>
              <w:t>C1</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bidi="ar"/>
              </w:rPr>
              <w:t>0万元＜基数≤100万元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lang w:bidi="ar"/>
              </w:rPr>
            </w:pPr>
            <w:r>
              <w:rPr>
                <w:rFonts w:hint="eastAsia" w:ascii="仿宋_GB2312" w:hAnsi="仿宋_GB2312" w:eastAsia="仿宋_GB2312" w:cs="仿宋_GB2312"/>
                <w:color w:val="auto"/>
                <w:sz w:val="21"/>
                <w:szCs w:val="21"/>
                <w:lang w:bidi="ar"/>
              </w:rPr>
              <w:t>8万元</w:t>
            </w:r>
          </w:p>
        </w:tc>
      </w:tr>
      <w:tr>
        <w:tblPrEx>
          <w:tblCellMar>
            <w:top w:w="0" w:type="dxa"/>
            <w:left w:w="108" w:type="dxa"/>
            <w:bottom w:w="0" w:type="dxa"/>
            <w:right w:w="108" w:type="dxa"/>
          </w:tblCellMar>
        </w:tblPrEx>
        <w:trPr>
          <w:trHeight w:val="27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bidi="ar"/>
              </w:rPr>
              <w:t>C2</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bidi="ar"/>
              </w:rPr>
              <w:t>100万元＜基数≤500万元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lang w:bidi="ar"/>
              </w:rPr>
            </w:pPr>
            <w:r>
              <w:rPr>
                <w:rFonts w:hint="eastAsia" w:ascii="仿宋_GB2312" w:hAnsi="仿宋_GB2312" w:eastAsia="仿宋_GB2312" w:cs="仿宋_GB2312"/>
                <w:color w:val="auto"/>
                <w:sz w:val="21"/>
                <w:szCs w:val="21"/>
                <w:lang w:bidi="ar"/>
              </w:rPr>
              <w:t>24万元</w:t>
            </w:r>
          </w:p>
        </w:tc>
      </w:tr>
      <w:tr>
        <w:tblPrEx>
          <w:tblCellMar>
            <w:top w:w="0" w:type="dxa"/>
            <w:left w:w="108" w:type="dxa"/>
            <w:bottom w:w="0" w:type="dxa"/>
            <w:right w:w="108" w:type="dxa"/>
          </w:tblCellMar>
        </w:tblPrEx>
        <w:trPr>
          <w:trHeight w:val="27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bidi="ar"/>
              </w:rPr>
              <w:t>C3</w:t>
            </w:r>
          </w:p>
        </w:tc>
        <w:tc>
          <w:tcPr>
            <w:tcW w:w="4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bidi="ar"/>
              </w:rPr>
              <w:t>500万元＜基数≤6,394,679.61元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1"/>
                <w:szCs w:val="21"/>
                <w:lang w:bidi="ar"/>
              </w:rPr>
            </w:pPr>
            <w:r>
              <w:rPr>
                <w:rFonts w:hint="eastAsia" w:ascii="仿宋_GB2312" w:hAnsi="仿宋_GB2312" w:eastAsia="仿宋_GB2312" w:cs="仿宋_GB2312"/>
                <w:color w:val="auto"/>
                <w:sz w:val="21"/>
                <w:szCs w:val="21"/>
                <w:lang w:bidi="ar"/>
              </w:rPr>
              <w:t>4万元</w:t>
            </w:r>
          </w:p>
        </w:tc>
      </w:tr>
    </w:tbl>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（5）比选人在收到最终生效法律文书且收到比选申请人全额增值税专用发票后5日内支付对应风险代理费用。</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3.按照上述第1、2项规则，基础代理费与风险代理费合计最高限价48万元，比选申请人超过48万元的报价视为无效报价。</w:t>
      </w:r>
    </w:p>
    <w:p>
      <w:pPr>
        <w:spacing w:line="5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4.中选人在进行比选人委托办理的法律事务过程中发生的诉讼费、仲裁费、保全费、鉴定费、公证费、公告费等费用，凭中选人合法有效票据由比选人实报实销。</w:t>
      </w:r>
    </w:p>
    <w:p>
      <w:pPr>
        <w:pStyle w:val="4"/>
        <w:tabs>
          <w:tab w:val="left" w:pos="0"/>
          <w:tab w:val="left" w:pos="720"/>
        </w:tabs>
        <w:spacing w:before="0" w:after="0" w:line="54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★三、服务要求</w:t>
      </w:r>
    </w:p>
    <w:bookmarkEnd w:id="277"/>
    <w:bookmarkEnd w:id="279"/>
    <w:p>
      <w:pPr>
        <w:spacing w:line="560" w:lineRule="exact"/>
        <w:ind w:firstLine="480" w:firstLineChars="200"/>
        <w:rPr>
          <w:rFonts w:ascii="方正楷体_GB2312" w:hAnsi="方正楷体_GB2312" w:eastAsia="方正楷体_GB2312" w:cs="方正楷体_GB2312"/>
          <w:color w:val="auto"/>
          <w:sz w:val="24"/>
        </w:rPr>
      </w:pPr>
      <w:bookmarkStart w:id="280" w:name="_Toc217446096"/>
      <w:r>
        <w:rPr>
          <w:rFonts w:hint="eastAsia" w:ascii="方正楷体_GB2312" w:hAnsi="方正楷体_GB2312" w:eastAsia="方正楷体_GB2312" w:cs="方正楷体_GB2312"/>
          <w:color w:val="auto"/>
          <w:sz w:val="24"/>
        </w:rPr>
        <w:t>（一）服务团队要求</w:t>
      </w:r>
    </w:p>
    <w:p>
      <w:pPr>
        <w:spacing w:line="540" w:lineRule="exact"/>
        <w:ind w:firstLine="480" w:firstLineChars="200"/>
        <w:rPr>
          <w:rFonts w:ascii="仿宋_GB2312" w:hAnsi="仿宋_GB2312" w:eastAsia="仿宋_GB2312" w:cs="仿宋_GB2312"/>
          <w:color w:val="auto"/>
          <w:kern w:val="2"/>
          <w:sz w:val="24"/>
          <w:szCs w:val="24"/>
        </w:rPr>
      </w:pPr>
      <w:bookmarkStart w:id="281" w:name="_Hlk135821069"/>
      <w:r>
        <w:rPr>
          <w:rFonts w:hint="eastAsia" w:ascii="仿宋_GB2312" w:hAnsi="仿宋_GB2312" w:eastAsia="仿宋_GB2312" w:cs="仿宋_GB2312"/>
          <w:color w:val="auto"/>
          <w:kern w:val="2"/>
          <w:sz w:val="24"/>
          <w:szCs w:val="24"/>
        </w:rPr>
        <w:t>比选申请人需指派具备相应工作经验的律师组成本项目工作团队，为本项目提供法律服务，具体人员要求：</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1.项目负责人1人：具有1个与本项目类似的民事诉讼案例。</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注：①与本项目类似的民事诉讼案件为：商事合同纠纷。</w:t>
      </w:r>
    </w:p>
    <w:p>
      <w:pPr>
        <w:spacing w:line="540" w:lineRule="exact"/>
        <w:ind w:left="476" w:leftChars="140"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②民事诉讼案例可提供以下证明材料（任选其一即可）：a.人民法院判决书复印件;b.人民法院裁定书复印件;c.调解书复印件;d.中国裁判文书网的裁判文书截图。</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以上证明材料须体现该项目负责人作为委托代理人的内容。</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2.协办人员至少</w:t>
      </w:r>
      <w:r>
        <w:rPr>
          <w:rFonts w:ascii="仿宋_GB2312" w:hAnsi="仿宋_GB2312" w:eastAsia="仿宋_GB2312" w:cs="仿宋_GB2312"/>
          <w:color w:val="auto"/>
          <w:kern w:val="2"/>
          <w:sz w:val="24"/>
          <w:szCs w:val="24"/>
        </w:rPr>
        <w:t>1</w:t>
      </w:r>
      <w:r>
        <w:rPr>
          <w:rFonts w:hint="eastAsia" w:ascii="仿宋_GB2312" w:hAnsi="仿宋_GB2312" w:eastAsia="仿宋_GB2312" w:cs="仿宋_GB2312"/>
          <w:color w:val="auto"/>
          <w:kern w:val="2"/>
          <w:sz w:val="24"/>
          <w:szCs w:val="24"/>
        </w:rPr>
        <w:t>人：每名协办人员均应具有律师执业证。</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注：提供律师执业资格证书复印件并加盖公章。</w:t>
      </w:r>
    </w:p>
    <w:bookmarkEnd w:id="281"/>
    <w:p>
      <w:pPr>
        <w:spacing w:line="560" w:lineRule="exact"/>
        <w:ind w:firstLine="480" w:firstLineChars="200"/>
        <w:rPr>
          <w:rFonts w:ascii="方正楷体_GB2312" w:hAnsi="方正楷体_GB2312" w:eastAsia="方正楷体_GB2312" w:cs="方正楷体_GB2312"/>
          <w:color w:val="auto"/>
          <w:sz w:val="24"/>
        </w:rPr>
      </w:pPr>
      <w:r>
        <w:rPr>
          <w:rFonts w:hint="eastAsia" w:ascii="方正楷体_GB2312" w:hAnsi="方正楷体_GB2312" w:eastAsia="方正楷体_GB2312" w:cs="方正楷体_GB2312"/>
          <w:color w:val="auto"/>
          <w:sz w:val="24"/>
        </w:rPr>
        <w:t>（二）服务标准及要求</w:t>
      </w:r>
    </w:p>
    <w:p>
      <w:pPr>
        <w:spacing w:line="540" w:lineRule="exact"/>
        <w:ind w:firstLine="480" w:firstLineChars="200"/>
        <w:rPr>
          <w:rFonts w:ascii="仿宋_GB2312" w:hAnsi="仿宋_GB2312" w:eastAsia="仿宋_GB2312" w:cs="仿宋_GB2312"/>
          <w:color w:val="auto"/>
          <w:kern w:val="2"/>
          <w:sz w:val="24"/>
          <w:szCs w:val="24"/>
        </w:rPr>
      </w:pPr>
      <w:bookmarkStart w:id="282" w:name="_Hlk129770241"/>
      <w:r>
        <w:rPr>
          <w:rFonts w:hint="eastAsia" w:ascii="仿宋_GB2312" w:hAnsi="仿宋_GB2312" w:eastAsia="仿宋_GB2312" w:cs="仿宋_GB2312"/>
          <w:color w:val="auto"/>
          <w:kern w:val="2"/>
          <w:sz w:val="24"/>
          <w:szCs w:val="24"/>
        </w:rPr>
        <w:t>1、指派的律师服务团队在提供服务过程中应当及时向比选人、相关部门和单位调取案件所必需的证据；</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2、指派的律师团队在提供服务过程中需制定相应的诉讼策略和诉讼方案，如：诉讼代理方案中案件概况、代理思路、案件重点、难点、风险点、应诉策略、进度安排、组织措施等；</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3、指派的律师团队在代为诉讼的同时应比选人的要求需协助比选人妥善处理与诉讼相关纠纷；</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4、指派的律师团队应当以其依据法律作出的专业判断，向比选人进行法律风险提示，尽最大努力维护比选人的合法利益；</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5、代理期间，将拟定的包括但不限于代理方案、证据目录、质证意见、代理意见等交比选人审阅。</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6、中选人应当根据审判机关的要求，及时提交证据，按时参加审理活动并应及时向比选人通报案件进展情况。</w:t>
      </w:r>
    </w:p>
    <w:p>
      <w:pPr>
        <w:spacing w:line="540" w:lineRule="exact"/>
        <w:ind w:firstLine="480" w:firstLineChars="200"/>
        <w:rPr>
          <w:rFonts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7、指派的律师团队对委托办理的案件应当独立建档，并保存完整的工作记录，对涉及比选人的原始证据、法律文件和财物应当妥善保管；</w:t>
      </w:r>
    </w:p>
    <w:bookmarkEnd w:id="282"/>
    <w:p>
      <w:pPr>
        <w:spacing w:line="540" w:lineRule="exact"/>
        <w:ind w:firstLine="48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kern w:val="2"/>
          <w:sz w:val="24"/>
          <w:szCs w:val="24"/>
        </w:rPr>
        <w:t>8、指派的律师团队应当保守其在接受比选人委托代理案件过程中知悉的国家秘密、商业秘密、个人隐私，以及比选人明确表示不能对外公开的信息。</w:t>
      </w:r>
    </w:p>
    <w:bookmarkEnd w:id="278"/>
    <w:p>
      <w:pPr>
        <w:spacing w:line="540" w:lineRule="exact"/>
        <w:rPr>
          <w:rFonts w:ascii="仿宋" w:eastAsia="仿宋"/>
          <w:color w:val="auto"/>
          <w:szCs w:val="21"/>
        </w:rPr>
      </w:pPr>
      <w:r>
        <w:rPr>
          <w:rFonts w:ascii="仿宋" w:eastAsia="仿宋"/>
          <w:color w:val="auto"/>
          <w:szCs w:val="21"/>
        </w:rPr>
        <w:br w:type="page"/>
      </w:r>
    </w:p>
    <w:p>
      <w:pPr>
        <w:numPr>
          <w:ilvl w:val="0"/>
          <w:numId w:val="3"/>
        </w:numPr>
        <w:spacing w:line="560" w:lineRule="exact"/>
        <w:ind w:firstLine="0"/>
        <w:jc w:val="center"/>
        <w:outlineLvl w:val="0"/>
        <w:rPr>
          <w:rFonts w:ascii="方正小标宋简体" w:hAnsi="方正小标宋简体" w:eastAsia="方正小标宋简体" w:cs="方正小标宋简体"/>
          <w:color w:val="auto"/>
          <w:kern w:val="2"/>
          <w:sz w:val="32"/>
          <w:szCs w:val="32"/>
        </w:rPr>
      </w:pPr>
      <w:bookmarkStart w:id="283" w:name="_Toc21242"/>
      <w:bookmarkStart w:id="284" w:name="_Toc3850"/>
      <w:bookmarkStart w:id="285" w:name="PO_默认文件内容_12"/>
      <w:r>
        <w:rPr>
          <w:rFonts w:hint="eastAsia" w:ascii="方正小标宋简体" w:hAnsi="方正小标宋简体" w:eastAsia="方正小标宋简体" w:cs="方正小标宋简体"/>
          <w:color w:val="auto"/>
          <w:kern w:val="2"/>
          <w:sz w:val="32"/>
          <w:szCs w:val="32"/>
        </w:rPr>
        <w:t>评审办法</w:t>
      </w:r>
      <w:bookmarkEnd w:id="280"/>
      <w:bookmarkEnd w:id="283"/>
      <w:bookmarkEnd w:id="284"/>
      <w:bookmarkStart w:id="286" w:name="_Hlt101846155"/>
      <w:bookmarkEnd w:id="286"/>
      <w:bookmarkStart w:id="287" w:name="_Toc183682415"/>
      <w:bookmarkStart w:id="288" w:name="_Toc208849007"/>
      <w:bookmarkStart w:id="289" w:name="_Toc217446097"/>
      <w:bookmarkStart w:id="290" w:name="_Toc183582280"/>
    </w:p>
    <w:p>
      <w:pPr>
        <w:pStyle w:val="4"/>
        <w:tabs>
          <w:tab w:val="left" w:pos="0"/>
          <w:tab w:val="left" w:pos="720"/>
        </w:tabs>
        <w:spacing w:before="0" w:after="0" w:line="56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一、总则</w:t>
      </w:r>
      <w:bookmarkEnd w:id="287"/>
      <w:bookmarkEnd w:id="288"/>
      <w:bookmarkEnd w:id="289"/>
      <w:bookmarkEnd w:id="290"/>
    </w:p>
    <w:p>
      <w:pPr>
        <w:spacing w:line="560" w:lineRule="exact"/>
        <w:ind w:firstLine="480" w:firstLineChars="200"/>
        <w:rPr>
          <w:rFonts w:ascii="仿宋" w:eastAsia="仿宋"/>
          <w:color w:val="auto"/>
          <w:sz w:val="24"/>
        </w:rPr>
      </w:pPr>
      <w:r>
        <w:rPr>
          <w:rFonts w:hint="eastAsia" w:ascii="仿宋" w:eastAsia="仿宋"/>
          <w:color w:val="auto"/>
          <w:sz w:val="24"/>
        </w:rPr>
        <w:t>1.比选人</w:t>
      </w:r>
      <w:r>
        <w:rPr>
          <w:rFonts w:ascii="仿宋" w:eastAsia="仿宋"/>
          <w:color w:val="auto"/>
          <w:sz w:val="24"/>
        </w:rPr>
        <w:t>将根据</w:t>
      </w:r>
      <w:r>
        <w:rPr>
          <w:rFonts w:hint="eastAsia" w:ascii="仿宋" w:eastAsia="仿宋"/>
          <w:color w:val="auto"/>
          <w:sz w:val="24"/>
        </w:rPr>
        <w:t>比选</w:t>
      </w:r>
      <w:r>
        <w:rPr>
          <w:rFonts w:ascii="仿宋" w:eastAsia="仿宋"/>
          <w:color w:val="auto"/>
          <w:sz w:val="24"/>
        </w:rPr>
        <w:t>货物特点组建</w:t>
      </w:r>
      <w:r>
        <w:rPr>
          <w:rFonts w:hint="eastAsia" w:ascii="仿宋" w:eastAsia="仿宋"/>
          <w:color w:val="auto"/>
          <w:sz w:val="24"/>
        </w:rPr>
        <w:t>评审</w:t>
      </w:r>
      <w:r>
        <w:rPr>
          <w:rFonts w:ascii="仿宋" w:eastAsia="仿宋"/>
          <w:color w:val="auto"/>
          <w:sz w:val="24"/>
        </w:rPr>
        <w:t>委员会</w:t>
      </w:r>
      <w:r>
        <w:rPr>
          <w:rFonts w:hint="eastAsia" w:ascii="仿宋" w:eastAsia="仿宋"/>
          <w:color w:val="auto"/>
          <w:sz w:val="24"/>
        </w:rPr>
        <w:t>，采取综合评分法。</w:t>
      </w:r>
    </w:p>
    <w:p>
      <w:pPr>
        <w:spacing w:line="560" w:lineRule="exact"/>
        <w:ind w:firstLine="480" w:firstLineChars="200"/>
        <w:rPr>
          <w:rFonts w:ascii="仿宋" w:eastAsia="仿宋"/>
          <w:color w:val="auto"/>
          <w:sz w:val="24"/>
        </w:rPr>
      </w:pPr>
      <w:r>
        <w:rPr>
          <w:rFonts w:hint="eastAsia" w:ascii="仿宋" w:eastAsia="仿宋"/>
          <w:color w:val="auto"/>
          <w:sz w:val="24"/>
        </w:rPr>
        <w:t>2.评审工作应遵循公平、公正、科学及择优的原则，并以相同的评审程序和标准对待所有的比选申请人。</w:t>
      </w:r>
    </w:p>
    <w:p>
      <w:pPr>
        <w:spacing w:line="560" w:lineRule="exact"/>
        <w:ind w:firstLine="456" w:firstLineChars="200"/>
        <w:rPr>
          <w:rFonts w:ascii="仿宋" w:eastAsia="仿宋"/>
          <w:color w:val="auto"/>
          <w:spacing w:val="-6"/>
          <w:sz w:val="24"/>
        </w:rPr>
      </w:pPr>
      <w:r>
        <w:rPr>
          <w:rFonts w:hint="eastAsia" w:ascii="仿宋" w:eastAsia="仿宋"/>
          <w:color w:val="auto"/>
          <w:spacing w:val="-6"/>
          <w:sz w:val="24"/>
        </w:rPr>
        <w:t>3.评审委员会按照比选文件规定的评审方法和标准进行评审，并独立履行下列职责：</w:t>
      </w:r>
    </w:p>
    <w:p>
      <w:pPr>
        <w:spacing w:line="560" w:lineRule="exact"/>
        <w:ind w:firstLine="480" w:firstLineChars="200"/>
        <w:rPr>
          <w:rFonts w:ascii="仿宋" w:eastAsia="仿宋"/>
          <w:color w:val="auto"/>
          <w:sz w:val="24"/>
        </w:rPr>
      </w:pPr>
      <w:r>
        <w:rPr>
          <w:rFonts w:hint="eastAsia" w:ascii="仿宋" w:eastAsia="仿宋"/>
          <w:color w:val="auto"/>
          <w:sz w:val="24"/>
        </w:rPr>
        <w:t>（1）审查比选申请文件是否符合比选文件要求，并作出评价；</w:t>
      </w:r>
    </w:p>
    <w:p>
      <w:pPr>
        <w:spacing w:line="560" w:lineRule="exact"/>
        <w:ind w:firstLine="480" w:firstLineChars="200"/>
        <w:rPr>
          <w:rFonts w:ascii="仿宋" w:eastAsia="仿宋"/>
          <w:color w:val="auto"/>
          <w:sz w:val="24"/>
        </w:rPr>
      </w:pPr>
      <w:r>
        <w:rPr>
          <w:rFonts w:hint="eastAsia" w:ascii="仿宋" w:eastAsia="仿宋"/>
          <w:color w:val="auto"/>
          <w:sz w:val="24"/>
        </w:rPr>
        <w:t>（2）要求比选申请人对比选申请文件有关事项作出解释或者澄清；</w:t>
      </w:r>
    </w:p>
    <w:p>
      <w:pPr>
        <w:spacing w:line="560" w:lineRule="exact"/>
        <w:ind w:firstLine="480" w:firstLineChars="200"/>
        <w:rPr>
          <w:rFonts w:ascii="仿宋" w:eastAsia="仿宋"/>
          <w:color w:val="auto"/>
          <w:sz w:val="24"/>
        </w:rPr>
      </w:pPr>
      <w:r>
        <w:rPr>
          <w:rFonts w:hint="eastAsia" w:ascii="仿宋" w:eastAsia="仿宋"/>
          <w:color w:val="auto"/>
          <w:sz w:val="24"/>
        </w:rPr>
        <w:t>（3）推荐中选候选人名单，或者受比选人委托按照事先确定的办法直接确定中标比选申请人；</w:t>
      </w:r>
    </w:p>
    <w:p>
      <w:pPr>
        <w:spacing w:line="560" w:lineRule="exact"/>
        <w:ind w:firstLine="480" w:firstLineChars="200"/>
        <w:rPr>
          <w:rFonts w:ascii="仿宋" w:eastAsia="仿宋"/>
          <w:color w:val="auto"/>
          <w:sz w:val="24"/>
        </w:rPr>
      </w:pPr>
      <w:r>
        <w:rPr>
          <w:rFonts w:hint="eastAsia" w:ascii="仿宋" w:eastAsia="仿宋"/>
          <w:color w:val="auto"/>
          <w:sz w:val="24"/>
        </w:rPr>
        <w:t>（4）向比选采购单位或者有关部门报告非法干预评审工作的行为。</w:t>
      </w:r>
      <w:bookmarkStart w:id="291" w:name="_Toc217446098"/>
    </w:p>
    <w:p>
      <w:pPr>
        <w:pStyle w:val="4"/>
        <w:tabs>
          <w:tab w:val="left" w:pos="0"/>
          <w:tab w:val="left" w:pos="720"/>
        </w:tabs>
        <w:spacing w:before="0" w:after="0" w:line="56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二、评审程序</w:t>
      </w:r>
      <w:bookmarkEnd w:id="291"/>
    </w:p>
    <w:p>
      <w:pPr>
        <w:spacing w:line="560" w:lineRule="exact"/>
        <w:ind w:firstLine="482" w:firstLineChars="200"/>
        <w:rPr>
          <w:rFonts w:ascii="仿宋" w:eastAsia="仿宋"/>
          <w:b/>
          <w:bCs/>
          <w:color w:val="auto"/>
          <w:kern w:val="2"/>
          <w:sz w:val="24"/>
          <w:szCs w:val="24"/>
        </w:rPr>
      </w:pPr>
      <w:bookmarkStart w:id="292" w:name="_Toc217446099"/>
      <w:r>
        <w:rPr>
          <w:rFonts w:hint="eastAsia" w:ascii="仿宋" w:eastAsia="仿宋"/>
          <w:b/>
          <w:bCs/>
          <w:color w:val="auto"/>
          <w:kern w:val="2"/>
          <w:sz w:val="24"/>
          <w:szCs w:val="24"/>
        </w:rPr>
        <w:t>1. 比选申请文件初审。初审分为资格性检查和符合性检查。</w:t>
      </w:r>
    </w:p>
    <w:p>
      <w:pPr>
        <w:spacing w:line="560" w:lineRule="exact"/>
        <w:ind w:firstLine="480" w:firstLineChars="200"/>
        <w:rPr>
          <w:rFonts w:ascii="仿宋" w:eastAsia="仿宋"/>
          <w:color w:val="auto"/>
          <w:sz w:val="24"/>
        </w:rPr>
      </w:pPr>
      <w:r>
        <w:rPr>
          <w:rFonts w:hint="eastAsia" w:ascii="仿宋" w:eastAsia="仿宋"/>
          <w:color w:val="auto"/>
          <w:sz w:val="24"/>
        </w:rPr>
        <w:t>1.1资格性检查。依据法律法规和比选文件的规定，对比选申请文件中的资格证明等进行审查，以确定比选申请人是否具备比选资格。</w:t>
      </w:r>
    </w:p>
    <w:tbl>
      <w:tblPr>
        <w:tblStyle w:val="85"/>
        <w:tblW w:w="88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1"/>
        <w:gridCol w:w="2619"/>
        <w:gridCol w:w="5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961" w:type="dxa"/>
            <w:tcBorders>
              <w:top w:val="single" w:color="000000" w:sz="2" w:space="0"/>
              <w:bottom w:val="single" w:color="000000" w:sz="2" w:space="0"/>
            </w:tcBorders>
            <w:vAlign w:val="center"/>
          </w:tcPr>
          <w:p>
            <w:pPr>
              <w:jc w:val="center"/>
              <w:rPr>
                <w:rFonts w:ascii="黑体" w:hAnsi="黑体" w:eastAsia="黑体" w:cs="黑体"/>
                <w:color w:val="auto"/>
                <w:sz w:val="21"/>
                <w:szCs w:val="21"/>
              </w:rPr>
            </w:pPr>
            <w:r>
              <w:rPr>
                <w:rFonts w:hint="eastAsia" w:ascii="黑体" w:hAnsi="黑体" w:eastAsia="黑体" w:cs="黑体"/>
                <w:color w:val="auto"/>
                <w:sz w:val="21"/>
                <w:szCs w:val="21"/>
              </w:rPr>
              <w:t>序号</w:t>
            </w:r>
          </w:p>
        </w:tc>
        <w:tc>
          <w:tcPr>
            <w:tcW w:w="2619" w:type="dxa"/>
            <w:tcBorders>
              <w:top w:val="single" w:color="000000" w:sz="2" w:space="0"/>
              <w:bottom w:val="single" w:color="000000" w:sz="2" w:space="0"/>
            </w:tcBorders>
            <w:vAlign w:val="center"/>
          </w:tcPr>
          <w:p>
            <w:pPr>
              <w:jc w:val="center"/>
              <w:rPr>
                <w:rFonts w:ascii="黑体" w:hAnsi="黑体" w:eastAsia="黑体" w:cs="黑体"/>
                <w:color w:val="auto"/>
                <w:sz w:val="21"/>
                <w:szCs w:val="21"/>
              </w:rPr>
            </w:pPr>
            <w:r>
              <w:rPr>
                <w:rFonts w:hint="eastAsia" w:ascii="黑体" w:hAnsi="黑体" w:eastAsia="黑体" w:cs="黑体"/>
                <w:color w:val="auto"/>
                <w:sz w:val="21"/>
                <w:szCs w:val="21"/>
              </w:rPr>
              <w:t>评审因素</w:t>
            </w:r>
          </w:p>
        </w:tc>
        <w:tc>
          <w:tcPr>
            <w:tcW w:w="5232" w:type="dxa"/>
            <w:tcBorders>
              <w:top w:val="single" w:color="000000" w:sz="2" w:space="0"/>
              <w:bottom w:val="single" w:color="000000" w:sz="2" w:space="0"/>
            </w:tcBorders>
            <w:vAlign w:val="center"/>
          </w:tcPr>
          <w:p>
            <w:pPr>
              <w:jc w:val="center"/>
              <w:rPr>
                <w:rFonts w:ascii="黑体" w:hAnsi="黑体" w:eastAsia="黑体" w:cs="黑体"/>
                <w:color w:val="auto"/>
                <w:sz w:val="21"/>
                <w:szCs w:val="21"/>
              </w:rPr>
            </w:pPr>
            <w:r>
              <w:rPr>
                <w:rFonts w:hint="eastAsia" w:ascii="黑体" w:hAnsi="黑体" w:eastAsia="黑体" w:cs="黑体"/>
                <w:color w:val="auto"/>
                <w:sz w:val="21"/>
                <w:szCs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961" w:type="dxa"/>
            <w:tcBorders>
              <w:top w:val="single" w:color="000000" w:sz="2" w:space="0"/>
              <w:bottom w:val="single" w:color="000000" w:sz="2"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619" w:type="dxa"/>
            <w:tcBorders>
              <w:top w:val="single" w:color="000000" w:sz="2" w:space="0"/>
              <w:bottom w:val="single" w:color="000000" w:sz="2" w:space="0"/>
            </w:tcBorders>
            <w:vAlign w:val="center"/>
          </w:tcPr>
          <w:p>
            <w:pPr>
              <w:rPr>
                <w:rFonts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依法在中华人民共和国境内设立5年以上的律师事务所，持有合法有效律师事务所执业许可证，以及国家法律法规要求的相关从业资质。</w:t>
            </w:r>
          </w:p>
        </w:tc>
        <w:tc>
          <w:tcPr>
            <w:tcW w:w="5232" w:type="dxa"/>
            <w:tcBorders>
              <w:top w:val="single" w:color="000000" w:sz="2" w:space="0"/>
              <w:bottom w:val="single" w:color="000000" w:sz="2" w:space="0"/>
            </w:tcBorders>
            <w:vAlign w:val="center"/>
          </w:tcPr>
          <w:p>
            <w:pPr>
              <w:numPr>
                <w:ilvl w:val="0"/>
                <w:numId w:val="8"/>
              </w:numP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具备司法行政机关颁发且年检合格的《律师事务所执业许可证》；</w:t>
            </w:r>
          </w:p>
          <w:p>
            <w:pPr>
              <w:numPr>
                <w:ilvl w:val="0"/>
                <w:numId w:val="8"/>
              </w:numP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如分所或分支机构参加比选的，分所或分支机构须获得总所唯一授权，须提供总所的业务许可证复印件。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961" w:type="dxa"/>
            <w:tcBorders>
              <w:top w:val="single" w:color="000000" w:sz="2" w:space="0"/>
              <w:bottom w:val="single" w:color="000000" w:sz="2"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2619" w:type="dxa"/>
            <w:tcBorders>
              <w:top w:val="single" w:color="000000" w:sz="2" w:space="0"/>
              <w:bottom w:val="single" w:color="000000" w:sz="2" w:space="0"/>
            </w:tcBorders>
            <w:vAlign w:val="center"/>
          </w:tcPr>
          <w:p>
            <w:pPr>
              <w:rPr>
                <w:rFonts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机构应拥有30名以上的注册专职律师；能够组建相对固定且不少于</w:t>
            </w:r>
            <w:r>
              <w:rPr>
                <w:rFonts w:ascii="仿宋_GB2312" w:hAnsi="仿宋_GB2312" w:eastAsia="仿宋_GB2312" w:cs="仿宋_GB2312"/>
                <w:color w:val="auto"/>
                <w:sz w:val="21"/>
                <w:szCs w:val="21"/>
                <w:lang w:val="zh-CN"/>
              </w:rPr>
              <w:t>2</w:t>
            </w:r>
            <w:r>
              <w:rPr>
                <w:rFonts w:hint="eastAsia" w:ascii="仿宋_GB2312" w:hAnsi="仿宋_GB2312" w:eastAsia="仿宋_GB2312" w:cs="仿宋_GB2312"/>
                <w:color w:val="auto"/>
                <w:sz w:val="21"/>
                <w:szCs w:val="21"/>
                <w:lang w:val="zh-CN"/>
              </w:rPr>
              <w:t>人的律师顾问团队。</w:t>
            </w:r>
          </w:p>
        </w:tc>
        <w:tc>
          <w:tcPr>
            <w:tcW w:w="5232" w:type="dxa"/>
            <w:tcBorders>
              <w:top w:val="single" w:color="000000" w:sz="2" w:space="0"/>
              <w:bottom w:val="single" w:color="000000" w:sz="2" w:space="0"/>
            </w:tcBorders>
            <w:vAlign w:val="center"/>
          </w:tcPr>
          <w:p>
            <w:pPr>
              <w:numPr>
                <w:ilvl w:val="0"/>
                <w:numId w:val="9"/>
              </w:numPr>
              <w:tabs>
                <w:tab w:val="left" w:pos="208"/>
              </w:tabs>
              <w:ind w:firstLine="4"/>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w:t>
            </w:r>
            <w:r>
              <w:rPr>
                <w:rFonts w:hint="eastAsia" w:ascii="仿宋_GB2312" w:hAnsi="仿宋_GB2312" w:eastAsia="仿宋_GB2312" w:cs="仿宋_GB2312"/>
                <w:color w:val="auto"/>
                <w:sz w:val="21"/>
                <w:szCs w:val="21"/>
                <w:lang w:val="zh-CN"/>
              </w:rPr>
              <w:t>30名以上的注册专职律师</w:t>
            </w:r>
            <w:r>
              <w:rPr>
                <w:rFonts w:hint="eastAsia" w:ascii="仿宋_GB2312" w:hAnsi="仿宋_GB2312" w:eastAsia="仿宋_GB2312" w:cs="仿宋_GB2312"/>
                <w:color w:val="auto"/>
                <w:sz w:val="21"/>
                <w:szCs w:val="21"/>
              </w:rPr>
              <w:t>证明文件；</w:t>
            </w:r>
          </w:p>
          <w:p>
            <w:pPr>
              <w:numPr>
                <w:ilvl w:val="0"/>
                <w:numId w:val="9"/>
              </w:numPr>
              <w:tabs>
                <w:tab w:val="left" w:pos="208"/>
              </w:tabs>
              <w:ind w:firstLine="4"/>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提供</w:t>
            </w:r>
            <w:r>
              <w:rPr>
                <w:rFonts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人以上</w:t>
            </w:r>
            <w:r>
              <w:rPr>
                <w:rFonts w:hint="eastAsia" w:ascii="仿宋_GB2312" w:hAnsi="仿宋_GB2312" w:eastAsia="仿宋_GB2312" w:cs="仿宋_GB2312"/>
                <w:color w:val="auto"/>
                <w:sz w:val="21"/>
                <w:szCs w:val="21"/>
                <w:lang w:val="zh-CN"/>
              </w:rPr>
              <w:t>律师</w:t>
            </w:r>
            <w:r>
              <w:rPr>
                <w:rFonts w:hint="eastAsia" w:ascii="仿宋_GB2312" w:hAnsi="仿宋_GB2312" w:eastAsia="仿宋_GB2312" w:cs="仿宋_GB2312"/>
                <w:color w:val="auto"/>
                <w:sz w:val="21"/>
                <w:szCs w:val="21"/>
              </w:rPr>
              <w:t>执业证书。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961" w:type="dxa"/>
            <w:tcBorders>
              <w:top w:val="single" w:color="000000" w:sz="2" w:space="0"/>
              <w:bottom w:val="single" w:color="000000" w:sz="2"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2619" w:type="dxa"/>
            <w:tcBorders>
              <w:top w:val="single" w:color="000000" w:sz="2" w:space="0"/>
              <w:bottom w:val="single" w:color="000000" w:sz="2" w:space="0"/>
            </w:tcBorders>
            <w:vAlign w:val="center"/>
          </w:tcPr>
          <w:p>
            <w:pPr>
              <w:rPr>
                <w:rFonts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比选申请人在比选日前三年，未被“信用中国”网站、“中国政府采购网”网站列入失信被执行人名单、政府采购严重违法失信行为记录名单。</w:t>
            </w:r>
          </w:p>
        </w:tc>
        <w:tc>
          <w:tcPr>
            <w:tcW w:w="5232" w:type="dxa"/>
            <w:tcBorders>
              <w:top w:val="single" w:color="000000" w:sz="2" w:space="0"/>
              <w:bottom w:val="single" w:color="000000" w:sz="2" w:space="0"/>
            </w:tcBorders>
            <w:vAlign w:val="center"/>
          </w:tcPr>
          <w:p>
            <w:pPr>
              <w:rPr>
                <w:rFonts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提供“信用中国”网站（www.creditchina.gov.cn）、“中国政府采购网”网站（www.ccgp.gov.cn）失信被执行人名单、政府采购严重违法失信行为记录名单网页截图。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961" w:type="dxa"/>
            <w:tcBorders>
              <w:top w:val="single" w:color="000000" w:sz="2" w:space="0"/>
              <w:bottom w:val="single" w:color="000000" w:sz="2"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2619" w:type="dxa"/>
            <w:tcBorders>
              <w:top w:val="single" w:color="000000" w:sz="2" w:space="0"/>
              <w:bottom w:val="single" w:color="000000" w:sz="2" w:space="0"/>
            </w:tcBorders>
            <w:vAlign w:val="center"/>
          </w:tcPr>
          <w:p>
            <w:pPr>
              <w:rPr>
                <w:rFonts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财务状况良好，近1年无亏损。</w:t>
            </w:r>
          </w:p>
        </w:tc>
        <w:tc>
          <w:tcPr>
            <w:tcW w:w="5232" w:type="dxa"/>
            <w:tcBorders>
              <w:top w:val="single" w:color="000000" w:sz="2" w:space="0"/>
              <w:bottom w:val="single" w:color="000000" w:sz="2" w:space="0"/>
            </w:tcBorders>
            <w:vAlign w:val="center"/>
          </w:tcPr>
          <w:p>
            <w:pPr>
              <w:rPr>
                <w:rFonts w:ascii="仿宋_GB2312" w:hAnsi="仿宋_GB2312" w:eastAsia="仿宋_GB2312" w:cs="仿宋_GB2312"/>
                <w:color w:val="auto"/>
                <w:sz w:val="21"/>
                <w:szCs w:val="21"/>
                <w:lang w:val="zh-CN"/>
              </w:rPr>
            </w:pPr>
            <w:r>
              <w:rPr>
                <w:rFonts w:hint="eastAsia" w:ascii="仿宋_GB2312" w:hAnsi="仿宋_GB2312" w:eastAsia="仿宋_GB2312" w:cs="仿宋_GB2312"/>
                <w:color w:val="auto"/>
                <w:sz w:val="21"/>
                <w:szCs w:val="21"/>
                <w:lang w:val="zh-CN"/>
              </w:rPr>
              <w:t>提供最近年度经审计后年度财务审计报告。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961" w:type="dxa"/>
            <w:tcBorders>
              <w:top w:val="single" w:color="000000" w:sz="2" w:space="0"/>
              <w:bottom w:val="single" w:color="000000" w:sz="2"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2619" w:type="dxa"/>
            <w:tcBorders>
              <w:top w:val="single" w:color="000000" w:sz="2" w:space="0"/>
              <w:bottom w:val="single" w:color="000000" w:sz="2"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非联合体比选</w:t>
            </w:r>
          </w:p>
        </w:tc>
        <w:tc>
          <w:tcPr>
            <w:tcW w:w="5232" w:type="dxa"/>
            <w:tcBorders>
              <w:top w:val="single" w:color="000000" w:sz="2" w:space="0"/>
              <w:bottom w:val="single" w:color="000000" w:sz="2" w:space="0"/>
            </w:tcBorders>
            <w:vAlign w:val="center"/>
          </w:tcPr>
          <w:p>
            <w:pP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非联合体比选申请人。</w:t>
            </w:r>
          </w:p>
        </w:tc>
      </w:tr>
    </w:tbl>
    <w:p>
      <w:pPr>
        <w:spacing w:line="560" w:lineRule="exact"/>
        <w:ind w:firstLine="480" w:firstLineChars="200"/>
        <w:rPr>
          <w:rFonts w:ascii="仿宋" w:eastAsia="仿宋"/>
          <w:color w:val="auto"/>
          <w:sz w:val="24"/>
        </w:rPr>
      </w:pPr>
      <w:r>
        <w:rPr>
          <w:rFonts w:hint="eastAsia" w:ascii="仿宋" w:eastAsia="仿宋"/>
          <w:color w:val="auto"/>
          <w:sz w:val="24"/>
        </w:rPr>
        <w:t>1.2符合性检查。依据比选文件的规定，从比选申请文件的有效性、完整性和对比选文件的响应程度进行审查，以确定是否对比选文件的实质性要求作出响应。</w:t>
      </w:r>
    </w:p>
    <w:tbl>
      <w:tblPr>
        <w:tblStyle w:val="85"/>
        <w:tblW w:w="88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413"/>
        <w:gridCol w:w="5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jc w:val="center"/>
        </w:trPr>
        <w:tc>
          <w:tcPr>
            <w:tcW w:w="821" w:type="dxa"/>
            <w:tcBorders>
              <w:left w:val="single" w:color="000000" w:sz="6" w:space="0"/>
              <w:right w:val="single" w:color="000000" w:sz="6" w:space="0"/>
            </w:tcBorders>
            <w:vAlign w:val="center"/>
          </w:tcPr>
          <w:p>
            <w:pPr>
              <w:jc w:val="center"/>
              <w:rPr>
                <w:rFonts w:ascii="黑体" w:hAnsi="黑体" w:eastAsia="黑体" w:cs="黑体"/>
                <w:color w:val="auto"/>
                <w:sz w:val="21"/>
                <w:szCs w:val="21"/>
              </w:rPr>
            </w:pPr>
            <w:r>
              <w:rPr>
                <w:rFonts w:hint="eastAsia" w:ascii="黑体" w:hAnsi="黑体" w:eastAsia="黑体" w:cs="黑体"/>
                <w:color w:val="auto"/>
                <w:sz w:val="21"/>
                <w:szCs w:val="21"/>
              </w:rPr>
              <w:t>序号</w:t>
            </w:r>
          </w:p>
        </w:tc>
        <w:tc>
          <w:tcPr>
            <w:tcW w:w="2413" w:type="dxa"/>
            <w:tcBorders>
              <w:left w:val="single" w:color="000000" w:sz="6" w:space="0"/>
              <w:right w:val="single" w:color="000000" w:sz="6" w:space="0"/>
            </w:tcBorders>
            <w:vAlign w:val="center"/>
          </w:tcPr>
          <w:p>
            <w:pPr>
              <w:jc w:val="center"/>
              <w:rPr>
                <w:rFonts w:ascii="黑体" w:hAnsi="黑体" w:eastAsia="黑体" w:cs="黑体"/>
                <w:color w:val="auto"/>
                <w:sz w:val="21"/>
                <w:szCs w:val="21"/>
              </w:rPr>
            </w:pPr>
            <w:r>
              <w:rPr>
                <w:rFonts w:hint="eastAsia" w:ascii="黑体" w:hAnsi="黑体" w:eastAsia="黑体" w:cs="黑体"/>
                <w:color w:val="auto"/>
                <w:sz w:val="21"/>
                <w:szCs w:val="21"/>
              </w:rPr>
              <w:t>评审因素</w:t>
            </w:r>
          </w:p>
        </w:tc>
        <w:tc>
          <w:tcPr>
            <w:tcW w:w="5615" w:type="dxa"/>
            <w:tcBorders>
              <w:left w:val="single" w:color="000000" w:sz="6" w:space="0"/>
              <w:right w:val="single" w:color="000000" w:sz="6" w:space="0"/>
            </w:tcBorders>
            <w:vAlign w:val="center"/>
          </w:tcPr>
          <w:p>
            <w:pPr>
              <w:jc w:val="center"/>
              <w:rPr>
                <w:rFonts w:ascii="黑体" w:hAnsi="黑体" w:eastAsia="黑体" w:cs="黑体"/>
                <w:color w:val="auto"/>
                <w:sz w:val="21"/>
                <w:szCs w:val="21"/>
              </w:rPr>
            </w:pPr>
            <w:r>
              <w:rPr>
                <w:rFonts w:hint="eastAsia" w:ascii="黑体" w:hAnsi="黑体" w:eastAsia="黑体" w:cs="黑体"/>
                <w:color w:val="auto"/>
                <w:sz w:val="21"/>
                <w:szCs w:val="21"/>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821"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413"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比选申请人名称</w:t>
            </w:r>
          </w:p>
        </w:tc>
        <w:tc>
          <w:tcPr>
            <w:tcW w:w="5615" w:type="dxa"/>
            <w:tcBorders>
              <w:left w:val="single" w:color="000000" w:sz="6" w:space="0"/>
              <w:right w:val="single" w:color="000000" w:sz="6" w:space="0"/>
            </w:tcBorders>
            <w:vAlign w:val="center"/>
          </w:tcPr>
          <w:p>
            <w:pP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与《律师事务所执业许可证》一致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821"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2413"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服务期限</w:t>
            </w:r>
          </w:p>
        </w:tc>
        <w:tc>
          <w:tcPr>
            <w:tcW w:w="5615" w:type="dxa"/>
            <w:tcBorders>
              <w:left w:val="single" w:color="000000" w:sz="6" w:space="0"/>
              <w:right w:val="single" w:color="000000" w:sz="6" w:space="0"/>
            </w:tcBorders>
            <w:vAlign w:val="center"/>
          </w:tcPr>
          <w:p>
            <w:pP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自合同签订之日起至本案发回重审一审、二审（或有）、执行（或有）。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821"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2413"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比选报价</w:t>
            </w:r>
          </w:p>
        </w:tc>
        <w:tc>
          <w:tcPr>
            <w:tcW w:w="5615" w:type="dxa"/>
            <w:tcBorders>
              <w:left w:val="single" w:color="000000" w:sz="6" w:space="0"/>
              <w:right w:val="single" w:color="000000" w:sz="6" w:space="0"/>
            </w:tcBorders>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报价包括所有诉讼程序中的代理费、利润、风险、税金等；</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2.综合报价最高限价</w:t>
            </w:r>
            <w:r>
              <w:rPr>
                <w:rFonts w:hint="eastAsia" w:ascii="仿宋_GB2312" w:hAnsi="仿宋_GB2312" w:eastAsia="仿宋_GB2312" w:cs="仿宋_GB2312"/>
                <w:color w:val="auto"/>
                <w:sz w:val="21"/>
                <w:szCs w:val="21"/>
              </w:rPr>
              <w:t>4</w:t>
            </w:r>
            <w:r>
              <w:rPr>
                <w:rFonts w:hint="eastAsia" w:ascii="仿宋_GB2312" w:hAnsi="仿宋_GB2312" w:eastAsia="仿宋_GB2312" w:cs="仿宋_GB2312"/>
                <w:color w:val="auto"/>
                <w:sz w:val="21"/>
                <w:szCs w:val="21"/>
                <w:lang w:eastAsia="zh-CN"/>
              </w:rPr>
              <w:t>8</w:t>
            </w:r>
            <w:r>
              <w:rPr>
                <w:rFonts w:hint="eastAsia" w:ascii="仿宋_GB2312" w:hAnsi="仿宋_GB2312" w:eastAsia="仿宋_GB2312" w:cs="仿宋_GB2312"/>
                <w:color w:val="auto"/>
                <w:sz w:val="21"/>
                <w:szCs w:val="21"/>
              </w:rPr>
              <w:t>万元，</w:t>
            </w:r>
            <w:r>
              <w:rPr>
                <w:rFonts w:hint="eastAsia" w:ascii="仿宋_GB2312" w:hAnsi="仿宋_GB2312" w:eastAsia="仿宋_GB2312" w:cs="仿宋_GB2312"/>
                <w:color w:val="auto"/>
                <w:sz w:val="21"/>
                <w:szCs w:val="21"/>
                <w:lang w:val="en-US" w:eastAsia="zh-CN"/>
              </w:rPr>
              <w:t>综合报价由基础代理费、风险代理费组成，分别如下：</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（1）基础代理费最高限价：12万元；</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基数为0万元（不含）-100万元（含）时，风险代理费报价比例最高限8%，最高限价8万元；</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（3）基数为100万元（不含）-500万元（含）时，风险代理费报价比例最高限6%，最高限价24万元；</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（4）基数为5,000,000.00元（不含）-6,394,679.61元（含）时，风险代理费报价比例最高限3%，最高限价4万元</w:t>
            </w:r>
            <w:r>
              <w:rPr>
                <w:rFonts w:hint="eastAsia" w:ascii="仿宋_GB2312" w:hAnsi="仿宋_GB2312" w:eastAsia="仿宋_GB2312" w:cs="仿宋_GB2312"/>
                <w:color w:val="auto"/>
                <w:sz w:val="21"/>
                <w:szCs w:val="21"/>
                <w:lang w:eastAsia="zh-CN"/>
              </w:rPr>
              <w:t>。</w:t>
            </w:r>
          </w:p>
          <w:p>
            <w:pPr>
              <w:rPr>
                <w:rFonts w:eastAsia="仿宋_GB2312"/>
                <w:color w:val="auto"/>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只有一个有效综合报价。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821"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2413"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服务团队</w:t>
            </w:r>
          </w:p>
        </w:tc>
        <w:tc>
          <w:tcPr>
            <w:tcW w:w="5615" w:type="dxa"/>
            <w:tcBorders>
              <w:left w:val="single" w:color="000000" w:sz="6" w:space="0"/>
              <w:right w:val="single" w:color="000000" w:sz="6" w:space="0"/>
            </w:tcBorders>
            <w:vAlign w:val="center"/>
          </w:tcPr>
          <w:p>
            <w:pP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（1）项目负责人1人（要求为单位合伙人）：具有1个与本项目类似的民事诉讼案例；</w:t>
            </w:r>
          </w:p>
          <w:p>
            <w:pPr>
              <w:rPr>
                <w:color w:val="auto"/>
              </w:rPr>
            </w:pPr>
            <w:r>
              <w:rPr>
                <w:rFonts w:hint="eastAsia" w:ascii="仿宋_GB2312" w:hAnsi="仿宋_GB2312" w:eastAsia="仿宋_GB2312" w:cs="仿宋_GB2312"/>
                <w:color w:val="auto"/>
                <w:sz w:val="21"/>
                <w:szCs w:val="21"/>
              </w:rPr>
              <w:t>（2）协办至少</w:t>
            </w:r>
            <w:r>
              <w:rPr>
                <w:rFonts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人：每名协办人员均应具有律师执业证。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821"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2413"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比选有效期</w:t>
            </w:r>
          </w:p>
        </w:tc>
        <w:tc>
          <w:tcPr>
            <w:tcW w:w="5615" w:type="dxa"/>
            <w:tcBorders>
              <w:left w:val="single" w:color="000000" w:sz="6" w:space="0"/>
              <w:right w:val="single" w:color="000000" w:sz="6" w:space="0"/>
            </w:tcBorders>
            <w:vAlign w:val="center"/>
          </w:tcPr>
          <w:p>
            <w:pPr>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满足比选有效期不少于90天。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821"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2413" w:type="dxa"/>
            <w:tcBorders>
              <w:left w:val="single" w:color="000000" w:sz="6" w:space="0"/>
              <w:right w:val="single" w:color="000000" w:sz="6" w:space="0"/>
            </w:tcBorders>
            <w:vAlign w:val="center"/>
          </w:tcPr>
          <w:p>
            <w:pPr>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比选申请文件格式</w:t>
            </w:r>
          </w:p>
        </w:tc>
        <w:tc>
          <w:tcPr>
            <w:tcW w:w="5615" w:type="dxa"/>
            <w:tcBorders>
              <w:left w:val="single" w:color="000000" w:sz="6" w:space="0"/>
              <w:right w:val="single" w:color="000000" w:sz="6" w:space="0"/>
            </w:tcBorders>
            <w:vAlign w:val="center"/>
          </w:tcPr>
          <w:p>
            <w:pPr>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符合第六章“比选申请文件格式”要求</w:t>
            </w:r>
          </w:p>
        </w:tc>
      </w:tr>
    </w:tbl>
    <w:p>
      <w:pPr>
        <w:spacing w:line="560" w:lineRule="exact"/>
        <w:ind w:firstLine="482" w:firstLineChars="200"/>
        <w:rPr>
          <w:rFonts w:ascii="仿宋" w:eastAsia="仿宋"/>
          <w:b/>
          <w:bCs/>
          <w:color w:val="auto"/>
          <w:kern w:val="2"/>
          <w:sz w:val="24"/>
          <w:szCs w:val="24"/>
        </w:rPr>
      </w:pPr>
      <w:r>
        <w:rPr>
          <w:rFonts w:hint="eastAsia" w:ascii="仿宋" w:eastAsia="仿宋"/>
          <w:b/>
          <w:bCs/>
          <w:color w:val="auto"/>
          <w:kern w:val="2"/>
          <w:sz w:val="24"/>
          <w:szCs w:val="24"/>
        </w:rPr>
        <w:t>2. 澄清有关问题</w:t>
      </w:r>
    </w:p>
    <w:p>
      <w:pPr>
        <w:spacing w:line="560" w:lineRule="exact"/>
        <w:ind w:firstLine="480" w:firstLineChars="200"/>
        <w:rPr>
          <w:rFonts w:ascii="仿宋" w:eastAsia="仿宋"/>
          <w:color w:val="auto"/>
          <w:sz w:val="24"/>
        </w:rPr>
      </w:pPr>
      <w:r>
        <w:rPr>
          <w:rFonts w:hint="eastAsia" w:ascii="仿宋" w:eastAsia="仿宋"/>
          <w:color w:val="auto"/>
          <w:sz w:val="24"/>
        </w:rPr>
        <w:t>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line="560" w:lineRule="exact"/>
        <w:ind w:firstLine="482" w:firstLineChars="200"/>
        <w:rPr>
          <w:rFonts w:ascii="仿宋" w:eastAsia="仿宋"/>
          <w:b/>
          <w:bCs/>
          <w:color w:val="auto"/>
          <w:kern w:val="2"/>
          <w:sz w:val="24"/>
          <w:szCs w:val="24"/>
        </w:rPr>
      </w:pPr>
      <w:r>
        <w:rPr>
          <w:rFonts w:hint="eastAsia" w:ascii="仿宋" w:eastAsia="仿宋"/>
          <w:b/>
          <w:bCs/>
          <w:color w:val="auto"/>
          <w:kern w:val="2"/>
          <w:sz w:val="24"/>
          <w:szCs w:val="24"/>
        </w:rPr>
        <w:t>3. 比较与评价</w:t>
      </w:r>
    </w:p>
    <w:p>
      <w:pPr>
        <w:spacing w:line="560" w:lineRule="exact"/>
        <w:ind w:firstLine="480" w:firstLineChars="200"/>
        <w:rPr>
          <w:rFonts w:ascii="仿宋" w:eastAsia="仿宋"/>
          <w:color w:val="auto"/>
          <w:sz w:val="24"/>
        </w:rPr>
      </w:pPr>
      <w:r>
        <w:rPr>
          <w:rFonts w:hint="eastAsia" w:ascii="仿宋" w:eastAsia="仿宋"/>
          <w:color w:val="auto"/>
          <w:sz w:val="24"/>
        </w:rPr>
        <w:t>按比选文件中规定的评审方法和标准，对资格性检查和符合性检查合格的比选申请文件进行商务和技术评估，综合比较与评价。</w:t>
      </w:r>
    </w:p>
    <w:bookmarkEnd w:id="292"/>
    <w:p>
      <w:pPr>
        <w:pStyle w:val="4"/>
        <w:tabs>
          <w:tab w:val="left" w:pos="0"/>
          <w:tab w:val="left" w:pos="720"/>
        </w:tabs>
        <w:spacing w:before="0" w:after="0" w:line="560" w:lineRule="exact"/>
        <w:ind w:firstLine="560" w:firstLineChars="200"/>
        <w:jc w:val="left"/>
        <w:rPr>
          <w:rFonts w:ascii="黑体" w:hAnsi="黑体" w:cs="黑体"/>
          <w:b w:val="0"/>
          <w:color w:val="auto"/>
          <w:kern w:val="2"/>
          <w:sz w:val="28"/>
          <w:szCs w:val="28"/>
        </w:rPr>
      </w:pPr>
      <w:bookmarkStart w:id="293" w:name="_Toc217446103"/>
      <w:r>
        <w:rPr>
          <w:rFonts w:hint="eastAsia" w:ascii="黑体" w:hAnsi="黑体" w:cs="黑体"/>
          <w:b w:val="0"/>
          <w:color w:val="auto"/>
          <w:kern w:val="2"/>
          <w:sz w:val="28"/>
          <w:szCs w:val="28"/>
        </w:rPr>
        <w:t>三、评审细则及标准（综合评分法）</w:t>
      </w:r>
      <w:bookmarkEnd w:id="293"/>
    </w:p>
    <w:p>
      <w:pPr>
        <w:spacing w:line="560" w:lineRule="exact"/>
        <w:ind w:firstLine="482" w:firstLineChars="200"/>
        <w:rPr>
          <w:rFonts w:ascii="仿宋" w:eastAsia="仿宋"/>
          <w:b/>
          <w:bCs/>
          <w:color w:val="auto"/>
          <w:sz w:val="24"/>
        </w:rPr>
      </w:pPr>
      <w:r>
        <w:rPr>
          <w:rFonts w:hint="eastAsia" w:ascii="仿宋" w:eastAsia="仿宋"/>
          <w:b/>
          <w:bCs/>
          <w:color w:val="auto"/>
          <w:sz w:val="24"/>
        </w:rPr>
        <w:t>1.本次综合评分的主要因素是：价格、技术、项目负责人等。</w:t>
      </w:r>
    </w:p>
    <w:p>
      <w:pPr>
        <w:spacing w:line="560" w:lineRule="exact"/>
        <w:ind w:firstLine="482" w:firstLineChars="200"/>
        <w:rPr>
          <w:rFonts w:ascii="仿宋" w:eastAsia="仿宋"/>
          <w:b/>
          <w:bCs/>
          <w:color w:val="auto"/>
          <w:sz w:val="24"/>
        </w:rPr>
      </w:pPr>
      <w:r>
        <w:rPr>
          <w:rFonts w:hint="eastAsia" w:ascii="仿宋" w:eastAsia="仿宋"/>
          <w:b/>
          <w:bCs/>
          <w:color w:val="auto"/>
          <w:sz w:val="24"/>
        </w:rPr>
        <w:t>2.除价格因素外，评委会成员应依据比选申请文件规定的评分标准和方法独立对其他因素进行比较打分。</w:t>
      </w:r>
    </w:p>
    <w:p>
      <w:pPr>
        <w:pStyle w:val="16"/>
        <w:tabs>
          <w:tab w:val="left" w:pos="600"/>
        </w:tabs>
        <w:spacing w:line="560" w:lineRule="exact"/>
        <w:ind w:firstLine="482" w:firstLineChars="200"/>
        <w:rPr>
          <w:rFonts w:ascii="仿宋" w:eastAsia="仿宋"/>
          <w:b/>
          <w:bCs/>
          <w:color w:val="auto"/>
          <w:sz w:val="24"/>
          <w:szCs w:val="24"/>
        </w:rPr>
      </w:pPr>
      <w:r>
        <w:rPr>
          <w:rFonts w:hint="eastAsia" w:ascii="仿宋" w:eastAsia="仿宋"/>
          <w:b/>
          <w:bCs/>
          <w:color w:val="auto"/>
          <w:sz w:val="24"/>
          <w:szCs w:val="24"/>
        </w:rPr>
        <w:t>3.在评审过程中，比选申请文件响应比选文件出现的偏离，分为实质性偏离和非实质性偏离。</w:t>
      </w:r>
    </w:p>
    <w:p>
      <w:pPr>
        <w:pStyle w:val="16"/>
        <w:tabs>
          <w:tab w:val="left" w:pos="600"/>
        </w:tabs>
        <w:spacing w:line="560" w:lineRule="exact"/>
        <w:ind w:firstLine="456" w:firstLineChars="200"/>
        <w:rPr>
          <w:rFonts w:ascii="仿宋" w:eastAsia="仿宋"/>
          <w:color w:val="auto"/>
          <w:spacing w:val="-6"/>
          <w:sz w:val="24"/>
          <w:szCs w:val="24"/>
        </w:rPr>
      </w:pPr>
      <w:r>
        <w:rPr>
          <w:rFonts w:hint="eastAsia" w:ascii="仿宋" w:eastAsia="仿宋"/>
          <w:color w:val="auto"/>
          <w:spacing w:val="-6"/>
          <w:sz w:val="24"/>
          <w:szCs w:val="24"/>
        </w:rPr>
        <w:t>3.1实质性偏离是指比选申请文件未能实质响应比选文件的要求。以下情况属于重大偏离：</w:t>
      </w:r>
    </w:p>
    <w:p>
      <w:pPr>
        <w:spacing w:line="560" w:lineRule="exact"/>
        <w:ind w:firstLine="480" w:firstLineChars="200"/>
        <w:rPr>
          <w:rFonts w:ascii="仿宋" w:eastAsia="仿宋"/>
          <w:color w:val="auto"/>
          <w:sz w:val="24"/>
        </w:rPr>
      </w:pPr>
      <w:r>
        <w:rPr>
          <w:rFonts w:hint="eastAsia" w:ascii="仿宋" w:eastAsia="仿宋"/>
          <w:color w:val="auto"/>
          <w:sz w:val="24"/>
        </w:rPr>
        <w:t>（1）比选申请函、法定代表人授权委托书、报价函没有按比选文件的规定和要求签字或盖章；</w:t>
      </w:r>
    </w:p>
    <w:p>
      <w:pPr>
        <w:spacing w:line="560" w:lineRule="exact"/>
        <w:ind w:firstLine="480" w:firstLineChars="200"/>
        <w:rPr>
          <w:rFonts w:ascii="仿宋" w:eastAsia="仿宋"/>
          <w:color w:val="auto"/>
          <w:sz w:val="24"/>
        </w:rPr>
      </w:pPr>
      <w:r>
        <w:rPr>
          <w:rFonts w:hint="eastAsia" w:ascii="仿宋" w:eastAsia="仿宋"/>
          <w:color w:val="auto"/>
          <w:sz w:val="24"/>
        </w:rPr>
        <w:t>（2）比选申请文件中附有比选人不能接受的条件；</w:t>
      </w:r>
    </w:p>
    <w:p>
      <w:pPr>
        <w:pStyle w:val="16"/>
        <w:tabs>
          <w:tab w:val="left" w:pos="600"/>
        </w:tabs>
        <w:spacing w:line="560" w:lineRule="exact"/>
        <w:ind w:firstLine="480" w:firstLineChars="200"/>
        <w:rPr>
          <w:rFonts w:ascii="仿宋" w:eastAsia="仿宋"/>
          <w:color w:val="auto"/>
          <w:sz w:val="24"/>
          <w:szCs w:val="24"/>
        </w:rPr>
      </w:pPr>
      <w:r>
        <w:rPr>
          <w:rFonts w:hint="eastAsia" w:ascii="仿宋" w:eastAsia="仿宋"/>
          <w:color w:val="auto"/>
          <w:sz w:val="24"/>
          <w:szCs w:val="24"/>
        </w:rPr>
        <w:t>（3）比选产品的技术规格、技术标准明显不符合比选项目的要求；</w:t>
      </w:r>
    </w:p>
    <w:p>
      <w:pPr>
        <w:pStyle w:val="16"/>
        <w:tabs>
          <w:tab w:val="left" w:pos="600"/>
        </w:tabs>
        <w:spacing w:line="560" w:lineRule="exact"/>
        <w:ind w:firstLine="480" w:firstLineChars="200"/>
        <w:rPr>
          <w:rFonts w:ascii="仿宋" w:eastAsia="仿宋"/>
          <w:color w:val="auto"/>
          <w:sz w:val="24"/>
          <w:szCs w:val="24"/>
        </w:rPr>
      </w:pPr>
      <w:r>
        <w:rPr>
          <w:rFonts w:hint="eastAsia" w:ascii="仿宋" w:eastAsia="仿宋"/>
          <w:color w:val="auto"/>
          <w:sz w:val="24"/>
          <w:szCs w:val="24"/>
        </w:rPr>
        <w:t>（4）</w:t>
      </w:r>
      <w:r>
        <w:rPr>
          <w:rFonts w:hint="eastAsia" w:ascii="仿宋" w:eastAsia="仿宋"/>
          <w:color w:val="auto"/>
          <w:sz w:val="24"/>
        </w:rPr>
        <w:t>不符合比选文件规定的其他实质性要求。</w:t>
      </w:r>
    </w:p>
    <w:p>
      <w:pPr>
        <w:pStyle w:val="16"/>
        <w:tabs>
          <w:tab w:val="left" w:pos="0"/>
        </w:tabs>
        <w:spacing w:line="560" w:lineRule="exact"/>
        <w:ind w:firstLine="480" w:firstLineChars="200"/>
        <w:rPr>
          <w:rFonts w:ascii="仿宋" w:eastAsia="仿宋"/>
          <w:color w:val="auto"/>
          <w:sz w:val="24"/>
          <w:szCs w:val="24"/>
        </w:rPr>
      </w:pPr>
      <w:r>
        <w:rPr>
          <w:rFonts w:hint="eastAsia" w:ascii="仿宋" w:eastAsia="仿宋"/>
          <w:color w:val="auto"/>
          <w:sz w:val="24"/>
          <w:szCs w:val="24"/>
        </w:rPr>
        <w:t>比选申请文件有上述情形之一的，作无效比选处理。</w:t>
      </w:r>
    </w:p>
    <w:p>
      <w:pPr>
        <w:spacing w:line="560" w:lineRule="exact"/>
        <w:ind w:firstLine="480" w:firstLineChars="200"/>
        <w:rPr>
          <w:rFonts w:ascii="仿宋" w:eastAsia="仿宋"/>
          <w:color w:val="auto"/>
          <w:sz w:val="24"/>
        </w:rPr>
      </w:pPr>
      <w:r>
        <w:rPr>
          <w:rFonts w:hint="eastAsia" w:ascii="仿宋" w:eastAsia="仿宋"/>
          <w:color w:val="auto"/>
          <w:sz w:val="24"/>
        </w:rPr>
        <w:t>3.2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pPr>
        <w:spacing w:line="560" w:lineRule="exact"/>
        <w:ind w:firstLine="480" w:firstLineChars="200"/>
        <w:rPr>
          <w:rFonts w:ascii="仿宋" w:eastAsia="仿宋"/>
          <w:color w:val="auto"/>
          <w:sz w:val="24"/>
        </w:rPr>
      </w:pPr>
      <w:r>
        <w:rPr>
          <w:rFonts w:hint="eastAsia" w:ascii="仿宋" w:eastAsia="仿宋"/>
          <w:color w:val="auto"/>
          <w:sz w:val="24"/>
        </w:rPr>
        <w:t>（1）文字表述的内容含义不明确；</w:t>
      </w:r>
    </w:p>
    <w:p>
      <w:pPr>
        <w:spacing w:line="560" w:lineRule="exact"/>
        <w:ind w:firstLine="480" w:firstLineChars="200"/>
        <w:rPr>
          <w:rFonts w:ascii="仿宋" w:eastAsia="仿宋"/>
          <w:color w:val="auto"/>
          <w:sz w:val="24"/>
        </w:rPr>
      </w:pPr>
      <w:r>
        <w:rPr>
          <w:rFonts w:hint="eastAsia" w:ascii="仿宋" w:eastAsia="仿宋"/>
          <w:color w:val="auto"/>
          <w:sz w:val="24"/>
        </w:rPr>
        <w:t>（2）同类问题表述不一致；</w:t>
      </w:r>
    </w:p>
    <w:p>
      <w:pPr>
        <w:spacing w:line="560" w:lineRule="exact"/>
        <w:ind w:firstLine="480" w:firstLineChars="200"/>
        <w:rPr>
          <w:rFonts w:ascii="仿宋" w:eastAsia="仿宋"/>
          <w:color w:val="auto"/>
          <w:sz w:val="24"/>
        </w:rPr>
      </w:pPr>
      <w:r>
        <w:rPr>
          <w:rFonts w:hint="eastAsia" w:ascii="仿宋" w:eastAsia="仿宋"/>
          <w:color w:val="auto"/>
          <w:sz w:val="24"/>
        </w:rPr>
        <w:t>（3）有明显文字和计算错误；</w:t>
      </w:r>
    </w:p>
    <w:p>
      <w:pPr>
        <w:spacing w:line="560" w:lineRule="exact"/>
        <w:ind w:firstLine="480" w:firstLineChars="200"/>
        <w:rPr>
          <w:rFonts w:ascii="仿宋" w:eastAsia="仿宋"/>
          <w:color w:val="auto"/>
          <w:sz w:val="24"/>
        </w:rPr>
      </w:pPr>
      <w:r>
        <w:rPr>
          <w:rFonts w:hint="eastAsia" w:ascii="仿宋" w:eastAsia="仿宋"/>
          <w:color w:val="auto"/>
          <w:sz w:val="24"/>
        </w:rPr>
        <w:t>（4）提供的技术信息和数据资料不完整；</w:t>
      </w:r>
    </w:p>
    <w:p>
      <w:pPr>
        <w:spacing w:line="560" w:lineRule="exact"/>
        <w:ind w:firstLine="480" w:firstLineChars="200"/>
        <w:rPr>
          <w:rFonts w:ascii="仿宋" w:eastAsia="仿宋"/>
          <w:color w:val="auto"/>
          <w:sz w:val="24"/>
        </w:rPr>
      </w:pPr>
      <w:r>
        <w:rPr>
          <w:rFonts w:hint="eastAsia" w:ascii="仿宋" w:eastAsia="仿宋"/>
          <w:color w:val="auto"/>
          <w:sz w:val="24"/>
        </w:rPr>
        <w:t>（5）评审委员会认定的其他非实质性偏离。</w:t>
      </w:r>
    </w:p>
    <w:p>
      <w:pPr>
        <w:tabs>
          <w:tab w:val="left" w:pos="7665"/>
        </w:tabs>
        <w:spacing w:line="560" w:lineRule="exact"/>
        <w:ind w:firstLine="480" w:firstLineChars="200"/>
        <w:rPr>
          <w:rFonts w:ascii="仿宋" w:eastAsia="仿宋"/>
          <w:color w:val="auto"/>
          <w:sz w:val="24"/>
        </w:rPr>
      </w:pPr>
      <w:r>
        <w:rPr>
          <w:rFonts w:hint="eastAsia" w:ascii="仿宋" w:eastAsia="仿宋"/>
          <w:color w:val="auto"/>
          <w:sz w:val="24"/>
        </w:rPr>
        <w:t>比选申请文件有上述（1）--（4）情形之一的，评审委员会应当书面要求比选申请人在规定的时间内予以澄清、说明或补正。比选申请人拒不或在规定的时间内没有进行澄清、说明或补正或澄清、说明、补正的内容也不能说明问题的，视为比选申请文件制作不规范，按每一项非实质性偏离进行扣分处理，直至该项分值扣完为止。评审</w:t>
      </w:r>
      <w:r>
        <w:rPr>
          <w:rFonts w:ascii="仿宋" w:eastAsia="仿宋"/>
          <w:color w:val="auto"/>
          <w:sz w:val="24"/>
        </w:rPr>
        <w:t>委员会不接受</w:t>
      </w:r>
      <w:r>
        <w:rPr>
          <w:rFonts w:hint="eastAsia" w:ascii="仿宋" w:eastAsia="仿宋"/>
          <w:color w:val="auto"/>
          <w:sz w:val="24"/>
        </w:rPr>
        <w:t>比选申请人</w:t>
      </w:r>
      <w:r>
        <w:rPr>
          <w:rFonts w:ascii="仿宋" w:eastAsia="仿宋"/>
          <w:color w:val="auto"/>
          <w:sz w:val="24"/>
        </w:rPr>
        <w:t>主动提出的澄清</w:t>
      </w:r>
      <w:r>
        <w:rPr>
          <w:rFonts w:hint="eastAsia" w:ascii="仿宋" w:eastAsia="仿宋"/>
          <w:color w:val="auto"/>
          <w:sz w:val="24"/>
        </w:rPr>
        <w:t>、</w:t>
      </w:r>
      <w:r>
        <w:rPr>
          <w:rFonts w:ascii="仿宋" w:eastAsia="仿宋"/>
          <w:color w:val="auto"/>
          <w:sz w:val="24"/>
        </w:rPr>
        <w:t>说明</w:t>
      </w:r>
      <w:r>
        <w:rPr>
          <w:rFonts w:hint="eastAsia" w:ascii="仿宋" w:eastAsia="仿宋"/>
          <w:color w:val="auto"/>
          <w:sz w:val="24"/>
        </w:rPr>
        <w:t>或补正</w:t>
      </w:r>
      <w:r>
        <w:rPr>
          <w:rFonts w:ascii="仿宋" w:eastAsia="仿宋"/>
          <w:color w:val="auto"/>
          <w:sz w:val="24"/>
        </w:rPr>
        <w:t>。</w:t>
      </w:r>
    </w:p>
    <w:p>
      <w:pPr>
        <w:pStyle w:val="16"/>
        <w:tabs>
          <w:tab w:val="left" w:pos="600"/>
        </w:tabs>
        <w:spacing w:line="560" w:lineRule="exact"/>
        <w:ind w:firstLine="482" w:firstLineChars="200"/>
        <w:rPr>
          <w:rFonts w:ascii="仿宋" w:eastAsia="仿宋"/>
          <w:b/>
          <w:bCs/>
          <w:color w:val="auto"/>
          <w:sz w:val="24"/>
          <w:szCs w:val="24"/>
        </w:rPr>
      </w:pPr>
      <w:r>
        <w:rPr>
          <w:rFonts w:hint="eastAsia" w:ascii="仿宋" w:eastAsia="仿宋"/>
          <w:b/>
          <w:bCs/>
          <w:color w:val="auto"/>
          <w:sz w:val="24"/>
          <w:szCs w:val="24"/>
        </w:rPr>
        <w:t>4.在比选申请文件初审过程中，如果出现评审委员会成员意见不一致的情况，按照少数服从多数的原则确定。</w:t>
      </w:r>
    </w:p>
    <w:p>
      <w:pPr>
        <w:pStyle w:val="16"/>
        <w:tabs>
          <w:tab w:val="left" w:pos="600"/>
        </w:tabs>
        <w:spacing w:line="560" w:lineRule="exact"/>
        <w:ind w:firstLine="482" w:firstLineChars="200"/>
        <w:rPr>
          <w:rFonts w:ascii="仿宋" w:eastAsia="仿宋"/>
          <w:b/>
          <w:bCs/>
          <w:color w:val="auto"/>
          <w:sz w:val="24"/>
          <w:szCs w:val="24"/>
        </w:rPr>
      </w:pPr>
      <w:r>
        <w:rPr>
          <w:rFonts w:hint="eastAsia" w:ascii="仿宋" w:eastAsia="仿宋"/>
          <w:b/>
          <w:bCs/>
          <w:color w:val="auto"/>
          <w:sz w:val="24"/>
          <w:szCs w:val="24"/>
        </w:rPr>
        <w:t>5.综合评分明细表</w:t>
      </w:r>
    </w:p>
    <w:p>
      <w:pPr>
        <w:pStyle w:val="16"/>
        <w:tabs>
          <w:tab w:val="left" w:pos="600"/>
        </w:tabs>
        <w:spacing w:line="560" w:lineRule="exact"/>
        <w:ind w:firstLine="480" w:firstLineChars="200"/>
        <w:rPr>
          <w:rFonts w:ascii="仿宋" w:eastAsia="仿宋"/>
          <w:color w:val="auto"/>
          <w:sz w:val="24"/>
          <w:szCs w:val="24"/>
        </w:rPr>
      </w:pPr>
      <w:r>
        <w:rPr>
          <w:rFonts w:hint="eastAsia" w:ascii="仿宋" w:eastAsia="仿宋"/>
          <w:color w:val="auto"/>
          <w:sz w:val="24"/>
          <w:szCs w:val="24"/>
        </w:rPr>
        <w:t>5.1综合评分明细表的制定以科学合理、降低评审委员会自由裁量权为原则。</w:t>
      </w:r>
    </w:p>
    <w:p>
      <w:pPr>
        <w:pStyle w:val="16"/>
        <w:tabs>
          <w:tab w:val="left" w:pos="600"/>
        </w:tabs>
        <w:spacing w:line="560" w:lineRule="exact"/>
        <w:ind w:firstLine="480" w:firstLineChars="200"/>
        <w:rPr>
          <w:rFonts w:ascii="仿宋" w:eastAsia="仿宋"/>
          <w:color w:val="auto"/>
          <w:sz w:val="24"/>
          <w:szCs w:val="24"/>
        </w:rPr>
      </w:pPr>
      <w:r>
        <w:rPr>
          <w:rFonts w:hint="eastAsia" w:ascii="仿宋" w:eastAsia="仿宋"/>
          <w:color w:val="auto"/>
          <w:sz w:val="24"/>
          <w:szCs w:val="24"/>
        </w:rPr>
        <w:t>5.2综合评分明细表</w:t>
      </w:r>
    </w:p>
    <w:tbl>
      <w:tblPr>
        <w:tblStyle w:val="3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56"/>
        <w:gridCol w:w="72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5" w:type="dxa"/>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序号</w:t>
            </w:r>
          </w:p>
        </w:tc>
        <w:tc>
          <w:tcPr>
            <w:tcW w:w="1256" w:type="dxa"/>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评分因素</w:t>
            </w:r>
          </w:p>
          <w:p>
            <w:pPr>
              <w:spacing w:line="400" w:lineRule="exact"/>
              <w:ind w:firstLine="28"/>
              <w:jc w:val="center"/>
              <w:rPr>
                <w:rFonts w:ascii="仿宋" w:eastAsia="仿宋"/>
                <w:color w:val="auto"/>
                <w:sz w:val="21"/>
                <w:szCs w:val="21"/>
              </w:rPr>
            </w:pPr>
            <w:r>
              <w:rPr>
                <w:rFonts w:hint="eastAsia" w:ascii="仿宋" w:eastAsia="仿宋"/>
                <w:color w:val="auto"/>
                <w:sz w:val="21"/>
                <w:szCs w:val="21"/>
              </w:rPr>
              <w:t>及权重</w:t>
            </w:r>
          </w:p>
        </w:tc>
        <w:tc>
          <w:tcPr>
            <w:tcW w:w="726" w:type="dxa"/>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分值</w:t>
            </w:r>
          </w:p>
        </w:tc>
        <w:tc>
          <w:tcPr>
            <w:tcW w:w="6329" w:type="dxa"/>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55" w:type="dxa"/>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1</w:t>
            </w:r>
          </w:p>
        </w:tc>
        <w:tc>
          <w:tcPr>
            <w:tcW w:w="1256" w:type="dxa"/>
            <w:vAlign w:val="center"/>
          </w:tcPr>
          <w:p>
            <w:pPr>
              <w:spacing w:line="400" w:lineRule="exact"/>
              <w:rPr>
                <w:rFonts w:ascii="仿宋" w:eastAsia="仿宋"/>
                <w:color w:val="auto"/>
                <w:sz w:val="21"/>
                <w:szCs w:val="21"/>
              </w:rPr>
            </w:pPr>
            <w:r>
              <w:rPr>
                <w:rFonts w:hint="eastAsia" w:ascii="仿宋" w:eastAsia="仿宋"/>
                <w:color w:val="auto"/>
                <w:sz w:val="21"/>
                <w:szCs w:val="21"/>
              </w:rPr>
              <w:t>报价10%</w:t>
            </w:r>
          </w:p>
        </w:tc>
        <w:tc>
          <w:tcPr>
            <w:tcW w:w="726" w:type="dxa"/>
            <w:vAlign w:val="center"/>
          </w:tcPr>
          <w:p>
            <w:pPr>
              <w:spacing w:line="400" w:lineRule="exact"/>
              <w:jc w:val="center"/>
              <w:rPr>
                <w:rFonts w:ascii="仿宋" w:eastAsia="仿宋"/>
                <w:color w:val="auto"/>
                <w:sz w:val="21"/>
                <w:szCs w:val="21"/>
              </w:rPr>
            </w:pPr>
            <w:r>
              <w:rPr>
                <w:rFonts w:hint="eastAsia" w:ascii="仿宋" w:eastAsia="仿宋"/>
                <w:color w:val="auto"/>
                <w:sz w:val="21"/>
                <w:szCs w:val="21"/>
              </w:rPr>
              <w:t>10分</w:t>
            </w:r>
          </w:p>
        </w:tc>
        <w:tc>
          <w:tcPr>
            <w:tcW w:w="6329" w:type="dxa"/>
            <w:vAlign w:val="center"/>
          </w:tcPr>
          <w:p>
            <w:pPr>
              <w:spacing w:line="400" w:lineRule="exact"/>
              <w:rPr>
                <w:color w:val="auto"/>
              </w:rPr>
            </w:pPr>
            <w:r>
              <w:rPr>
                <w:rFonts w:hint="eastAsia" w:ascii="仿宋" w:eastAsia="仿宋"/>
                <w:color w:val="auto"/>
                <w:sz w:val="21"/>
                <w:szCs w:val="21"/>
              </w:rPr>
              <w:t>以满足比选文件要求的基础代理费用、风险代理费用合计的有效比选报价平均值为基准价，当比选报价等于基准价时，比选报价得10分；当比选报价大于基准价时，比选报价得分=(基准价／比选报价)*10；当比选报价小于基准价时，比选报价得分=(比选报价/基准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5" w:type="dxa"/>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2</w:t>
            </w:r>
          </w:p>
        </w:tc>
        <w:tc>
          <w:tcPr>
            <w:tcW w:w="1256" w:type="dxa"/>
            <w:vAlign w:val="center"/>
          </w:tcPr>
          <w:p>
            <w:pPr>
              <w:spacing w:line="400" w:lineRule="exact"/>
              <w:rPr>
                <w:rFonts w:ascii="仿宋" w:eastAsia="仿宋"/>
                <w:color w:val="auto"/>
                <w:sz w:val="21"/>
                <w:szCs w:val="21"/>
              </w:rPr>
            </w:pPr>
            <w:r>
              <w:rPr>
                <w:rFonts w:hint="eastAsia" w:ascii="仿宋" w:eastAsia="仿宋"/>
                <w:color w:val="auto"/>
                <w:sz w:val="21"/>
                <w:szCs w:val="21"/>
              </w:rPr>
              <w:t>综合实力25%</w:t>
            </w:r>
          </w:p>
        </w:tc>
        <w:tc>
          <w:tcPr>
            <w:tcW w:w="726" w:type="dxa"/>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25分</w:t>
            </w:r>
          </w:p>
        </w:tc>
        <w:tc>
          <w:tcPr>
            <w:tcW w:w="6329" w:type="dxa"/>
            <w:vAlign w:val="center"/>
          </w:tcPr>
          <w:p>
            <w:pPr>
              <w:spacing w:line="400" w:lineRule="exact"/>
              <w:rPr>
                <w:rFonts w:ascii="仿宋" w:eastAsia="仿宋"/>
                <w:color w:val="auto"/>
                <w:sz w:val="21"/>
                <w:szCs w:val="21"/>
                <w:highlight w:val="none"/>
              </w:rPr>
            </w:pPr>
            <w:r>
              <w:rPr>
                <w:rFonts w:hint="eastAsia" w:ascii="仿宋" w:eastAsia="仿宋"/>
                <w:color w:val="auto"/>
                <w:sz w:val="21"/>
                <w:szCs w:val="21"/>
                <w:highlight w:val="none"/>
              </w:rPr>
              <w:t>根据事务所成立时间、规模、人数、所得荣誉等进行综合评比打分。</w:t>
            </w:r>
          </w:p>
          <w:p>
            <w:pPr>
              <w:spacing w:line="400" w:lineRule="exact"/>
              <w:rPr>
                <w:rFonts w:ascii="仿宋" w:eastAsia="仿宋"/>
                <w:color w:val="auto"/>
                <w:sz w:val="21"/>
                <w:szCs w:val="21"/>
                <w:highlight w:val="none"/>
              </w:rPr>
            </w:pPr>
            <w:r>
              <w:rPr>
                <w:rFonts w:hint="eastAsia" w:ascii="仿宋" w:eastAsia="仿宋"/>
                <w:color w:val="auto"/>
                <w:sz w:val="21"/>
                <w:szCs w:val="21"/>
                <w:highlight w:val="none"/>
              </w:rPr>
              <w:t>1.事务所成立五年得5分，每增加三年加1分，总分不超过8分；2.从业律师30人得4分，每增加15人加1分，总分不超过7分；</w:t>
            </w:r>
          </w:p>
          <w:p>
            <w:pPr>
              <w:spacing w:line="400" w:lineRule="exact"/>
              <w:rPr>
                <w:rFonts w:ascii="仿宋" w:eastAsia="仿宋"/>
                <w:color w:val="auto"/>
                <w:sz w:val="21"/>
                <w:szCs w:val="21"/>
                <w:highlight w:val="none"/>
              </w:rPr>
            </w:pPr>
            <w:r>
              <w:rPr>
                <w:rFonts w:hint="eastAsia" w:ascii="仿宋" w:eastAsia="仿宋"/>
                <w:color w:val="auto"/>
                <w:sz w:val="21"/>
                <w:szCs w:val="21"/>
                <w:highlight w:val="none"/>
              </w:rPr>
              <w:t>3.全国性荣誉证书得5分、省级3分、市级2分，总分不超过10分。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55" w:type="dxa"/>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3</w:t>
            </w:r>
          </w:p>
        </w:tc>
        <w:tc>
          <w:tcPr>
            <w:tcW w:w="1256" w:type="dxa"/>
            <w:vAlign w:val="center"/>
          </w:tcPr>
          <w:p>
            <w:pPr>
              <w:spacing w:line="400" w:lineRule="exact"/>
              <w:rPr>
                <w:rFonts w:ascii="仿宋" w:eastAsia="仿宋"/>
                <w:color w:val="auto"/>
                <w:sz w:val="21"/>
                <w:szCs w:val="21"/>
              </w:rPr>
            </w:pPr>
            <w:r>
              <w:rPr>
                <w:rFonts w:hint="eastAsia" w:ascii="仿宋" w:eastAsia="仿宋"/>
                <w:color w:val="auto"/>
                <w:sz w:val="21"/>
                <w:szCs w:val="21"/>
              </w:rPr>
              <w:t>人员配置</w:t>
            </w:r>
            <w:r>
              <w:rPr>
                <w:rFonts w:ascii="仿宋" w:eastAsia="仿宋"/>
                <w:color w:val="auto"/>
                <w:sz w:val="21"/>
                <w:szCs w:val="21"/>
              </w:rPr>
              <w:t>15%</w:t>
            </w:r>
          </w:p>
        </w:tc>
        <w:tc>
          <w:tcPr>
            <w:tcW w:w="726" w:type="dxa"/>
            <w:vAlign w:val="center"/>
          </w:tcPr>
          <w:p>
            <w:pPr>
              <w:spacing w:line="400" w:lineRule="exact"/>
              <w:ind w:firstLine="28"/>
              <w:jc w:val="center"/>
              <w:rPr>
                <w:rFonts w:ascii="仿宋" w:eastAsia="仿宋"/>
                <w:color w:val="auto"/>
                <w:sz w:val="21"/>
                <w:szCs w:val="21"/>
              </w:rPr>
            </w:pPr>
            <w:r>
              <w:rPr>
                <w:rFonts w:ascii="仿宋" w:eastAsia="仿宋"/>
                <w:color w:val="auto"/>
                <w:sz w:val="21"/>
                <w:szCs w:val="21"/>
              </w:rPr>
              <w:t>15</w:t>
            </w:r>
            <w:r>
              <w:rPr>
                <w:rFonts w:hint="eastAsia" w:ascii="仿宋" w:eastAsia="仿宋"/>
                <w:color w:val="auto"/>
                <w:sz w:val="21"/>
                <w:szCs w:val="21"/>
              </w:rPr>
              <w:t>分</w:t>
            </w:r>
          </w:p>
        </w:tc>
        <w:tc>
          <w:tcPr>
            <w:tcW w:w="6329" w:type="dxa"/>
            <w:vAlign w:val="center"/>
          </w:tcPr>
          <w:p>
            <w:pPr>
              <w:spacing w:line="400" w:lineRule="exact"/>
              <w:rPr>
                <w:rFonts w:ascii="仿宋" w:eastAsia="仿宋"/>
                <w:color w:val="auto"/>
                <w:sz w:val="21"/>
                <w:szCs w:val="21"/>
                <w:highlight w:val="none"/>
              </w:rPr>
            </w:pPr>
            <w:r>
              <w:rPr>
                <w:rFonts w:hint="eastAsia" w:ascii="仿宋" w:eastAsia="仿宋"/>
                <w:color w:val="auto"/>
                <w:sz w:val="21"/>
                <w:szCs w:val="21"/>
                <w:highlight w:val="none"/>
              </w:rPr>
              <w:t>1.为本项目配备的项目负责人执业</w:t>
            </w:r>
            <w:r>
              <w:rPr>
                <w:rFonts w:ascii="仿宋" w:eastAsia="仿宋"/>
                <w:color w:val="auto"/>
                <w:sz w:val="21"/>
                <w:szCs w:val="21"/>
                <w:highlight w:val="none"/>
              </w:rPr>
              <w:t>10</w:t>
            </w:r>
            <w:r>
              <w:rPr>
                <w:rFonts w:hint="eastAsia" w:ascii="仿宋" w:eastAsia="仿宋"/>
                <w:color w:val="auto"/>
                <w:sz w:val="21"/>
                <w:szCs w:val="21"/>
                <w:highlight w:val="none"/>
              </w:rPr>
              <w:t>年得</w:t>
            </w:r>
            <w:r>
              <w:rPr>
                <w:rFonts w:ascii="仿宋" w:eastAsia="仿宋"/>
                <w:color w:val="auto"/>
                <w:sz w:val="21"/>
                <w:szCs w:val="21"/>
                <w:highlight w:val="none"/>
              </w:rPr>
              <w:t>5</w:t>
            </w:r>
            <w:r>
              <w:rPr>
                <w:rFonts w:hint="eastAsia" w:ascii="仿宋" w:eastAsia="仿宋"/>
                <w:color w:val="auto"/>
                <w:sz w:val="21"/>
                <w:szCs w:val="21"/>
                <w:highlight w:val="none"/>
              </w:rPr>
              <w:t>分，每增加1年得1分，总分不超过</w:t>
            </w:r>
            <w:r>
              <w:rPr>
                <w:rFonts w:ascii="仿宋" w:eastAsia="仿宋"/>
                <w:color w:val="auto"/>
                <w:sz w:val="21"/>
                <w:szCs w:val="21"/>
                <w:highlight w:val="none"/>
              </w:rPr>
              <w:t>10</w:t>
            </w:r>
            <w:r>
              <w:rPr>
                <w:rFonts w:hint="eastAsia" w:ascii="仿宋" w:eastAsia="仿宋"/>
                <w:color w:val="auto"/>
                <w:sz w:val="21"/>
                <w:szCs w:val="21"/>
                <w:highlight w:val="none"/>
              </w:rPr>
              <w:t>分。</w:t>
            </w:r>
          </w:p>
          <w:p>
            <w:pPr>
              <w:spacing w:line="400" w:lineRule="exact"/>
              <w:rPr>
                <w:color w:val="auto"/>
                <w:szCs w:val="21"/>
                <w:highlight w:val="none"/>
              </w:rPr>
            </w:pPr>
            <w:r>
              <w:rPr>
                <w:rFonts w:hint="eastAsia" w:ascii="仿宋" w:eastAsia="仿宋"/>
                <w:color w:val="auto"/>
                <w:sz w:val="21"/>
                <w:szCs w:val="21"/>
                <w:highlight w:val="none"/>
              </w:rPr>
              <w:t>2.</w:t>
            </w:r>
            <w:r>
              <w:rPr>
                <w:rFonts w:ascii="仿宋" w:eastAsia="仿宋"/>
                <w:color w:val="auto"/>
                <w:sz w:val="21"/>
                <w:szCs w:val="21"/>
                <w:highlight w:val="none"/>
              </w:rPr>
              <w:t>非负责人外的</w:t>
            </w:r>
            <w:r>
              <w:rPr>
                <w:rFonts w:hint="eastAsia" w:ascii="仿宋" w:eastAsia="仿宋"/>
                <w:color w:val="auto"/>
                <w:sz w:val="21"/>
                <w:szCs w:val="21"/>
                <w:highlight w:val="none"/>
                <w:lang w:val="en-US" w:eastAsia="zh-CN"/>
              </w:rPr>
              <w:t>协办</w:t>
            </w:r>
            <w:r>
              <w:rPr>
                <w:rFonts w:hint="eastAsia" w:ascii="仿宋" w:eastAsia="仿宋"/>
                <w:color w:val="auto"/>
                <w:sz w:val="21"/>
                <w:szCs w:val="21"/>
                <w:highlight w:val="none"/>
              </w:rPr>
              <w:t>律师执业</w:t>
            </w:r>
            <w:r>
              <w:rPr>
                <w:rFonts w:ascii="仿宋" w:eastAsia="仿宋"/>
                <w:color w:val="auto"/>
                <w:sz w:val="21"/>
                <w:szCs w:val="21"/>
                <w:highlight w:val="none"/>
              </w:rPr>
              <w:t>10</w:t>
            </w:r>
            <w:r>
              <w:rPr>
                <w:rFonts w:hint="eastAsia" w:ascii="仿宋" w:eastAsia="仿宋"/>
                <w:color w:val="auto"/>
                <w:sz w:val="21"/>
                <w:szCs w:val="21"/>
                <w:highlight w:val="none"/>
              </w:rPr>
              <w:t>年及以上得</w:t>
            </w:r>
            <w:r>
              <w:rPr>
                <w:rFonts w:ascii="仿宋" w:eastAsia="仿宋"/>
                <w:color w:val="auto"/>
                <w:sz w:val="21"/>
                <w:szCs w:val="21"/>
                <w:highlight w:val="none"/>
              </w:rPr>
              <w:t>5</w:t>
            </w:r>
            <w:r>
              <w:rPr>
                <w:rFonts w:hint="eastAsia" w:ascii="仿宋" w:eastAsia="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4</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eastAsia="仿宋"/>
                <w:color w:val="auto"/>
                <w:sz w:val="21"/>
                <w:szCs w:val="21"/>
              </w:rPr>
            </w:pPr>
            <w:r>
              <w:rPr>
                <w:rFonts w:hint="eastAsia" w:ascii="仿宋" w:eastAsia="仿宋"/>
                <w:color w:val="auto"/>
                <w:sz w:val="21"/>
                <w:szCs w:val="21"/>
              </w:rPr>
              <w:t>服务方案</w:t>
            </w:r>
            <w:r>
              <w:rPr>
                <w:rFonts w:ascii="仿宋" w:eastAsia="仿宋"/>
                <w:color w:val="auto"/>
                <w:sz w:val="21"/>
                <w:szCs w:val="21"/>
              </w:rPr>
              <w:t>3</w:t>
            </w:r>
            <w:r>
              <w:rPr>
                <w:rFonts w:hint="eastAsia" w:ascii="仿宋" w:eastAsia="仿宋"/>
                <w:color w:val="auto"/>
                <w:sz w:val="21"/>
                <w:szCs w:val="21"/>
              </w:rPr>
              <w:t>0%</w:t>
            </w:r>
          </w:p>
        </w:tc>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 w:eastAsia="仿宋"/>
                <w:color w:val="auto"/>
                <w:sz w:val="21"/>
                <w:szCs w:val="21"/>
              </w:rPr>
            </w:pPr>
            <w:r>
              <w:rPr>
                <w:rFonts w:ascii="仿宋" w:eastAsia="仿宋"/>
                <w:color w:val="auto"/>
                <w:sz w:val="21"/>
                <w:szCs w:val="21"/>
              </w:rPr>
              <w:t>3</w:t>
            </w:r>
            <w:r>
              <w:rPr>
                <w:rFonts w:hint="eastAsia" w:ascii="仿宋" w:eastAsia="仿宋"/>
                <w:color w:val="auto"/>
                <w:sz w:val="21"/>
                <w:szCs w:val="21"/>
              </w:rPr>
              <w:t>0分</w:t>
            </w:r>
          </w:p>
        </w:tc>
        <w:tc>
          <w:tcPr>
            <w:tcW w:w="632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仿宋" w:eastAsia="仿宋"/>
                <w:color w:val="auto"/>
                <w:sz w:val="21"/>
                <w:szCs w:val="21"/>
              </w:rPr>
            </w:pPr>
            <w:r>
              <w:rPr>
                <w:rFonts w:hint="eastAsia" w:ascii="仿宋" w:eastAsia="仿宋"/>
                <w:color w:val="auto"/>
                <w:sz w:val="21"/>
                <w:szCs w:val="21"/>
              </w:rPr>
              <w:t>比选申请人结合第三章内容，提出针对本项目纠纷类案件的诉讼方案，至少包含以下方面：</w:t>
            </w:r>
          </w:p>
          <w:p>
            <w:pPr>
              <w:spacing w:line="400" w:lineRule="exact"/>
              <w:ind w:firstLine="28"/>
              <w:rPr>
                <w:rFonts w:ascii="仿宋" w:eastAsia="仿宋"/>
                <w:color w:val="auto"/>
                <w:sz w:val="21"/>
                <w:szCs w:val="21"/>
              </w:rPr>
            </w:pPr>
            <w:r>
              <w:rPr>
                <w:rFonts w:hint="eastAsia" w:ascii="仿宋" w:eastAsia="仿宋"/>
                <w:color w:val="auto"/>
                <w:sz w:val="21"/>
                <w:szCs w:val="21"/>
              </w:rPr>
              <w:t>1.此类案件重点、难点阐述；</w:t>
            </w:r>
          </w:p>
          <w:p>
            <w:pPr>
              <w:spacing w:line="400" w:lineRule="exact"/>
              <w:ind w:firstLine="28"/>
              <w:rPr>
                <w:rFonts w:ascii="仿宋" w:eastAsia="仿宋"/>
                <w:color w:val="auto"/>
                <w:sz w:val="21"/>
                <w:szCs w:val="21"/>
              </w:rPr>
            </w:pPr>
            <w:r>
              <w:rPr>
                <w:rFonts w:hint="eastAsia" w:ascii="仿宋" w:eastAsia="仿宋"/>
                <w:color w:val="auto"/>
                <w:sz w:val="21"/>
                <w:szCs w:val="21"/>
              </w:rPr>
              <w:t>2.此类案件的关键法律风险点分析；</w:t>
            </w:r>
          </w:p>
          <w:p>
            <w:pPr>
              <w:spacing w:line="400" w:lineRule="exact"/>
              <w:ind w:firstLine="28"/>
              <w:rPr>
                <w:rFonts w:ascii="仿宋" w:eastAsia="仿宋"/>
                <w:color w:val="auto"/>
                <w:sz w:val="21"/>
                <w:szCs w:val="21"/>
              </w:rPr>
            </w:pPr>
            <w:r>
              <w:rPr>
                <w:rFonts w:ascii="仿宋" w:eastAsia="仿宋"/>
                <w:color w:val="auto"/>
                <w:sz w:val="21"/>
                <w:szCs w:val="21"/>
              </w:rPr>
              <w:t>3</w:t>
            </w:r>
            <w:r>
              <w:rPr>
                <w:rFonts w:hint="eastAsia" w:ascii="仿宋" w:eastAsia="仿宋"/>
                <w:color w:val="auto"/>
                <w:sz w:val="21"/>
                <w:szCs w:val="21"/>
              </w:rPr>
              <w:t>.此类案件中可能涉及的相关诉讼焦点、关键证据及关键因素，分析诉讼的突破口。</w:t>
            </w:r>
          </w:p>
          <w:p>
            <w:pPr>
              <w:spacing w:line="400" w:lineRule="exact"/>
              <w:ind w:firstLine="28"/>
              <w:rPr>
                <w:rFonts w:ascii="仿宋" w:eastAsia="仿宋"/>
                <w:color w:val="auto"/>
                <w:sz w:val="21"/>
                <w:szCs w:val="21"/>
              </w:rPr>
            </w:pPr>
            <w:r>
              <w:rPr>
                <w:rFonts w:hint="eastAsia" w:ascii="仿宋" w:eastAsia="仿宋"/>
                <w:color w:val="auto"/>
                <w:sz w:val="21"/>
                <w:szCs w:val="21"/>
              </w:rPr>
              <w:t>以上内容齐全，且同时满足：内容充分、逻辑严谨、符合项目实际情况的得</w:t>
            </w:r>
            <w:r>
              <w:rPr>
                <w:rFonts w:ascii="仿宋" w:eastAsia="仿宋"/>
                <w:color w:val="auto"/>
                <w:sz w:val="21"/>
                <w:szCs w:val="21"/>
              </w:rPr>
              <w:t>3</w:t>
            </w:r>
            <w:r>
              <w:rPr>
                <w:rFonts w:hint="eastAsia" w:ascii="仿宋" w:eastAsia="仿宋"/>
                <w:color w:val="auto"/>
                <w:sz w:val="21"/>
                <w:szCs w:val="21"/>
              </w:rPr>
              <w:t>0分。每缺少一个内容的扣</w:t>
            </w:r>
            <w:r>
              <w:rPr>
                <w:rFonts w:ascii="仿宋" w:eastAsia="仿宋"/>
                <w:color w:val="auto"/>
                <w:sz w:val="21"/>
                <w:szCs w:val="21"/>
              </w:rPr>
              <w:t>10</w:t>
            </w:r>
            <w:r>
              <w:rPr>
                <w:rFonts w:hint="eastAsia" w:ascii="仿宋" w:eastAsia="仿宋"/>
                <w:color w:val="auto"/>
                <w:sz w:val="21"/>
                <w:szCs w:val="21"/>
              </w:rPr>
              <w:t>分，</w:t>
            </w:r>
            <w:r>
              <w:rPr>
                <w:rFonts w:ascii="仿宋" w:eastAsia="仿宋"/>
                <w:color w:val="auto"/>
                <w:sz w:val="21"/>
                <w:szCs w:val="21"/>
              </w:rPr>
              <w:t>3</w:t>
            </w:r>
            <w:r>
              <w:rPr>
                <w:rFonts w:hint="eastAsia" w:ascii="仿宋" w:eastAsia="仿宋"/>
                <w:color w:val="auto"/>
                <w:sz w:val="21"/>
                <w:szCs w:val="21"/>
              </w:rPr>
              <w:t>0分扣完为止；内容描述存在内容不充分、前后矛盾或其他不足之处的，每有一处扣</w:t>
            </w:r>
            <w:r>
              <w:rPr>
                <w:rFonts w:ascii="仿宋" w:eastAsia="仿宋"/>
                <w:color w:val="auto"/>
                <w:sz w:val="21"/>
                <w:szCs w:val="21"/>
              </w:rPr>
              <w:t>5</w:t>
            </w:r>
            <w:r>
              <w:rPr>
                <w:rFonts w:hint="eastAsia" w:ascii="仿宋" w:eastAsia="仿宋"/>
                <w:color w:val="auto"/>
                <w:sz w:val="21"/>
                <w:szCs w:val="21"/>
              </w:rPr>
              <w:t>分，30分扣完为止。</w:t>
            </w:r>
          </w:p>
          <w:p>
            <w:pPr>
              <w:spacing w:line="400" w:lineRule="exact"/>
              <w:ind w:firstLine="28"/>
              <w:rPr>
                <w:rFonts w:ascii="仿宋" w:eastAsia="仿宋"/>
                <w:color w:val="auto"/>
                <w:sz w:val="21"/>
                <w:szCs w:val="21"/>
              </w:rPr>
            </w:pPr>
            <w:r>
              <w:rPr>
                <w:rFonts w:hint="eastAsia" w:ascii="仿宋" w:eastAsia="仿宋"/>
                <w:color w:val="auto"/>
                <w:sz w:val="21"/>
                <w:szCs w:val="21"/>
              </w:rPr>
              <w:t>（注：其他不足之处是指内容套用或错用、凭空编造、科学原理错误以及不可能实现的夸大情形等。）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仿宋" w:eastAsia="仿宋"/>
                <w:color w:val="auto"/>
                <w:sz w:val="21"/>
                <w:szCs w:val="21"/>
              </w:rPr>
            </w:pPr>
            <w:r>
              <w:rPr>
                <w:rFonts w:hint="eastAsia" w:ascii="仿宋" w:eastAsia="仿宋"/>
                <w:color w:val="auto"/>
                <w:sz w:val="21"/>
                <w:szCs w:val="21"/>
              </w:rPr>
              <w:t>5</w:t>
            </w:r>
          </w:p>
        </w:tc>
        <w:tc>
          <w:tcPr>
            <w:tcW w:w="125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仿宋" w:eastAsia="仿宋"/>
                <w:color w:val="auto"/>
                <w:sz w:val="21"/>
                <w:szCs w:val="21"/>
              </w:rPr>
            </w:pPr>
            <w:r>
              <w:rPr>
                <w:rFonts w:hint="eastAsia" w:ascii="仿宋" w:eastAsia="仿宋"/>
                <w:color w:val="auto"/>
                <w:sz w:val="21"/>
                <w:szCs w:val="21"/>
              </w:rPr>
              <w:t>业绩20%</w:t>
            </w:r>
          </w:p>
        </w:tc>
        <w:tc>
          <w:tcPr>
            <w:tcW w:w="72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仿宋" w:eastAsia="仿宋"/>
                <w:color w:val="auto"/>
                <w:sz w:val="21"/>
                <w:szCs w:val="21"/>
              </w:rPr>
            </w:pPr>
            <w:r>
              <w:rPr>
                <w:rFonts w:hint="eastAsia" w:ascii="仿宋" w:eastAsia="仿宋"/>
                <w:color w:val="auto"/>
                <w:sz w:val="21"/>
                <w:szCs w:val="21"/>
              </w:rPr>
              <w:t>20分</w:t>
            </w:r>
          </w:p>
        </w:tc>
        <w:tc>
          <w:tcPr>
            <w:tcW w:w="632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rPr>
                <w:rFonts w:ascii="仿宋" w:eastAsia="仿宋"/>
                <w:color w:val="auto"/>
                <w:sz w:val="21"/>
                <w:szCs w:val="21"/>
              </w:rPr>
            </w:pPr>
            <w:r>
              <w:rPr>
                <w:rFonts w:hint="eastAsia" w:ascii="仿宋" w:eastAsia="仿宋"/>
                <w:color w:val="auto"/>
                <w:sz w:val="21"/>
                <w:szCs w:val="21"/>
              </w:rPr>
              <w:t>1.</w:t>
            </w:r>
            <w:r>
              <w:rPr>
                <w:rFonts w:ascii="仿宋" w:eastAsia="仿宋"/>
                <w:color w:val="auto"/>
                <w:sz w:val="21"/>
                <w:szCs w:val="21"/>
              </w:rPr>
              <w:t>参选律师团队负责人、</w:t>
            </w:r>
            <w:r>
              <w:rPr>
                <w:rFonts w:hint="eastAsia" w:ascii="仿宋" w:eastAsia="仿宋"/>
                <w:color w:val="auto"/>
                <w:sz w:val="21"/>
                <w:szCs w:val="21"/>
              </w:rPr>
              <w:t>协办</w:t>
            </w:r>
            <w:r>
              <w:rPr>
                <w:rFonts w:ascii="仿宋" w:eastAsia="仿宋"/>
                <w:color w:val="auto"/>
                <w:sz w:val="21"/>
                <w:szCs w:val="21"/>
              </w:rPr>
              <w:t>律师代理</w:t>
            </w:r>
            <w:r>
              <w:rPr>
                <w:rFonts w:hint="eastAsia" w:ascii="仿宋" w:eastAsia="仿宋"/>
                <w:color w:val="auto"/>
                <w:sz w:val="21"/>
                <w:szCs w:val="21"/>
              </w:rPr>
              <w:t>商事合同纠纷的诉</w:t>
            </w:r>
            <w:r>
              <w:rPr>
                <w:rFonts w:ascii="仿宋" w:eastAsia="仿宋"/>
                <w:color w:val="auto"/>
                <w:sz w:val="21"/>
                <w:szCs w:val="21"/>
              </w:rPr>
              <w:t>讼案件，每提供一个得</w:t>
            </w:r>
            <w:r>
              <w:rPr>
                <w:rFonts w:hint="eastAsia" w:ascii="仿宋" w:eastAsia="仿宋"/>
                <w:color w:val="auto"/>
                <w:sz w:val="21"/>
                <w:szCs w:val="21"/>
              </w:rPr>
              <w:t>4</w:t>
            </w:r>
            <w:r>
              <w:rPr>
                <w:rFonts w:ascii="仿宋" w:eastAsia="仿宋"/>
                <w:color w:val="auto"/>
                <w:sz w:val="21"/>
                <w:szCs w:val="21"/>
              </w:rPr>
              <w:t>分，上限</w:t>
            </w:r>
            <w:r>
              <w:rPr>
                <w:rFonts w:hint="eastAsia" w:ascii="仿宋" w:eastAsia="仿宋"/>
                <w:color w:val="auto"/>
                <w:sz w:val="21"/>
                <w:szCs w:val="21"/>
              </w:rPr>
              <w:t>8</w:t>
            </w:r>
            <w:r>
              <w:rPr>
                <w:rFonts w:ascii="仿宋" w:eastAsia="仿宋"/>
                <w:color w:val="auto"/>
                <w:sz w:val="21"/>
                <w:szCs w:val="21"/>
              </w:rPr>
              <w:t>分。（提供判决书、裁定书、调解书等证明文件）</w:t>
            </w:r>
          </w:p>
          <w:p>
            <w:pPr>
              <w:spacing w:line="400" w:lineRule="exact"/>
              <w:rPr>
                <w:rFonts w:ascii="仿宋" w:eastAsia="仿宋"/>
                <w:color w:val="auto"/>
                <w:sz w:val="21"/>
                <w:szCs w:val="21"/>
              </w:rPr>
            </w:pPr>
            <w:r>
              <w:rPr>
                <w:rFonts w:hint="eastAsia" w:ascii="仿宋" w:eastAsia="仿宋"/>
                <w:color w:val="auto"/>
                <w:sz w:val="21"/>
                <w:szCs w:val="21"/>
              </w:rPr>
              <w:t>2.</w:t>
            </w:r>
            <w:r>
              <w:rPr>
                <w:rFonts w:ascii="仿宋" w:eastAsia="仿宋"/>
                <w:color w:val="auto"/>
                <w:sz w:val="21"/>
                <w:szCs w:val="21"/>
              </w:rPr>
              <w:t>参选律师团队负责人、</w:t>
            </w:r>
            <w:r>
              <w:rPr>
                <w:rFonts w:hint="eastAsia" w:ascii="仿宋" w:eastAsia="仿宋"/>
                <w:color w:val="auto"/>
                <w:sz w:val="21"/>
                <w:szCs w:val="21"/>
              </w:rPr>
              <w:t>协办</w:t>
            </w:r>
            <w:r>
              <w:rPr>
                <w:rFonts w:ascii="仿宋" w:eastAsia="仿宋"/>
                <w:color w:val="auto"/>
                <w:sz w:val="21"/>
                <w:szCs w:val="21"/>
              </w:rPr>
              <w:t>律师</w:t>
            </w:r>
            <w:r>
              <w:rPr>
                <w:rFonts w:hint="eastAsia" w:ascii="仿宋" w:eastAsia="仿宋"/>
                <w:color w:val="auto"/>
                <w:sz w:val="21"/>
                <w:szCs w:val="21"/>
              </w:rPr>
              <w:t>代理过民事诉讼标的额达一千万元以上的，每有一个案件经历得4分，最多得12分</w:t>
            </w:r>
            <w:r>
              <w:rPr>
                <w:rFonts w:hint="eastAsia"/>
                <w:color w:val="auto"/>
              </w:rPr>
              <w:t>。</w:t>
            </w:r>
          </w:p>
        </w:tc>
      </w:tr>
      <w:bookmarkEnd w:id="285"/>
    </w:tbl>
    <w:p>
      <w:pPr>
        <w:pStyle w:val="4"/>
        <w:tabs>
          <w:tab w:val="left" w:pos="0"/>
          <w:tab w:val="left" w:pos="720"/>
        </w:tabs>
        <w:spacing w:before="0" w:after="0" w:line="560" w:lineRule="exact"/>
        <w:ind w:firstLine="560" w:firstLineChars="200"/>
        <w:jc w:val="left"/>
        <w:rPr>
          <w:rFonts w:ascii="黑体" w:hAnsi="黑体" w:cs="黑体"/>
          <w:b w:val="0"/>
          <w:color w:val="auto"/>
          <w:kern w:val="2"/>
          <w:sz w:val="28"/>
          <w:szCs w:val="28"/>
        </w:rPr>
      </w:pPr>
      <w:bookmarkStart w:id="294" w:name="_Toc183682422"/>
      <w:bookmarkStart w:id="295" w:name="_Toc217446104"/>
      <w:bookmarkStart w:id="296" w:name="_Toc183582287"/>
      <w:bookmarkStart w:id="297" w:name="PO_默认文件内容_11"/>
      <w:r>
        <w:rPr>
          <w:rFonts w:hint="eastAsia" w:ascii="黑体" w:hAnsi="黑体" w:cs="黑体"/>
          <w:b w:val="0"/>
          <w:color w:val="auto"/>
          <w:kern w:val="2"/>
          <w:sz w:val="28"/>
          <w:szCs w:val="28"/>
        </w:rPr>
        <w:t>四、计算错误的修改</w:t>
      </w:r>
      <w:bookmarkEnd w:id="294"/>
      <w:bookmarkEnd w:id="295"/>
      <w:bookmarkEnd w:id="296"/>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1.比选申请文件中如果出现计算上或累加上的算术错误，可按以下原则进行修改：</w:t>
      </w:r>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（1）用数字表示的金额和用文字表示的金额不一致，应以文字表示的金额为准。</w:t>
      </w:r>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（2）单价和数量的乘积与总价不一致时，以单价为准，并修正总价。</w:t>
      </w:r>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（3）单价金额小数点有明显错误的，以总价为准，修正单价。</w:t>
      </w:r>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2.按上述修正错误的方法调整的比选报价应对比选申请人具有约束力。如果比选申请人不接受修正后的价格，其比选将被拒绝。</w:t>
      </w:r>
    </w:p>
    <w:p>
      <w:pPr>
        <w:pStyle w:val="4"/>
        <w:tabs>
          <w:tab w:val="left" w:pos="0"/>
          <w:tab w:val="left" w:pos="720"/>
        </w:tabs>
        <w:spacing w:before="0" w:after="0" w:line="56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五、评审专家在比选采购活动中承担以下义务：</w:t>
      </w:r>
    </w:p>
    <w:p>
      <w:pPr>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1.遵纪守法，客观、公正、廉洁地履行职责。</w:t>
      </w:r>
    </w:p>
    <w:p>
      <w:pPr>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2.按照采购文件的规定要求对比选申请人的资格条件和比选申请人提供的产品价格、技术、服务等方面严格进行评判，</w:t>
      </w:r>
      <w:r>
        <w:rPr>
          <w:rFonts w:ascii="仿宋" w:eastAsia="仿宋"/>
          <w:color w:val="auto"/>
          <w:sz w:val="24"/>
        </w:rPr>
        <w:t>提供</w:t>
      </w:r>
      <w:r>
        <w:rPr>
          <w:rFonts w:hint="eastAsia" w:ascii="仿宋" w:eastAsia="仿宋"/>
          <w:color w:val="auto"/>
          <w:sz w:val="24"/>
        </w:rPr>
        <w:t>科学合理、公平公正</w:t>
      </w:r>
      <w:r>
        <w:rPr>
          <w:rFonts w:ascii="仿宋" w:eastAsia="仿宋"/>
          <w:color w:val="auto"/>
          <w:sz w:val="24"/>
        </w:rPr>
        <w:t>的评审意见</w:t>
      </w:r>
      <w:r>
        <w:rPr>
          <w:rFonts w:hint="eastAsia" w:ascii="仿宋" w:eastAsia="仿宋"/>
          <w:color w:val="auto"/>
          <w:sz w:val="24"/>
        </w:rPr>
        <w:t>，参与起草评审报告，并予签字确认。</w:t>
      </w:r>
    </w:p>
    <w:p>
      <w:pPr>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3.保守秘密。不得透露采购文件咨询情况，不得</w:t>
      </w:r>
      <w:r>
        <w:rPr>
          <w:rFonts w:hint="eastAsia" w:ascii="仿宋" w:eastAsia="仿宋"/>
          <w:color w:val="auto"/>
          <w:sz w:val="24"/>
          <w:lang w:val="en-US" w:eastAsia="zh-CN"/>
        </w:rPr>
        <w:t>泄露</w:t>
      </w:r>
      <w:r>
        <w:rPr>
          <w:rFonts w:hint="eastAsia" w:ascii="仿宋" w:eastAsia="仿宋"/>
          <w:color w:val="auto"/>
          <w:sz w:val="24"/>
        </w:rPr>
        <w:t>比选申请人的比选申请文件及知悉的商业秘密，不得向比选申请人透露评审情况。</w:t>
      </w:r>
    </w:p>
    <w:p>
      <w:pPr>
        <w:pStyle w:val="4"/>
        <w:tabs>
          <w:tab w:val="left" w:pos="0"/>
          <w:tab w:val="left" w:pos="720"/>
        </w:tabs>
        <w:spacing w:before="0" w:after="0" w:line="56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六、重新比选或终止比选</w:t>
      </w:r>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本次比选活动中，出现下列情形之一的，予以重新比选或终止比选：</w:t>
      </w:r>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（1）所有比选都不符合比选文件要求，并被全部否决的；</w:t>
      </w:r>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（2）出现影响比选采购公正的违法、违规行为的；</w:t>
      </w:r>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（3）因重大变故，比选采购任务取消的；</w:t>
      </w:r>
    </w:p>
    <w:p>
      <w:pPr>
        <w:widowControl/>
        <w:autoSpaceDE w:val="0"/>
        <w:autoSpaceDN w:val="0"/>
        <w:spacing w:line="560" w:lineRule="exact"/>
        <w:ind w:firstLine="480" w:firstLineChars="200"/>
        <w:textAlignment w:val="bottom"/>
        <w:rPr>
          <w:rFonts w:ascii="仿宋" w:eastAsia="仿宋"/>
          <w:color w:val="auto"/>
          <w:sz w:val="24"/>
        </w:rPr>
      </w:pPr>
      <w:r>
        <w:rPr>
          <w:rFonts w:hint="eastAsia" w:ascii="仿宋" w:eastAsia="仿宋"/>
          <w:color w:val="auto"/>
          <w:sz w:val="24"/>
        </w:rPr>
        <w:t>（4）通过资格性审查和符合性审查的比选申请人不足三家的；</w:t>
      </w:r>
    </w:p>
    <w:p>
      <w:pPr>
        <w:widowControl/>
        <w:spacing w:line="560" w:lineRule="exact"/>
        <w:ind w:firstLine="482" w:firstLineChars="200"/>
        <w:jc w:val="left"/>
        <w:rPr>
          <w:rFonts w:ascii="仿宋" w:eastAsia="仿宋"/>
          <w:color w:val="auto"/>
          <w:sz w:val="24"/>
        </w:rPr>
      </w:pPr>
      <w:r>
        <w:rPr>
          <w:rFonts w:ascii="仿宋" w:eastAsia="仿宋"/>
          <w:b/>
          <w:bCs/>
          <w:color w:val="auto"/>
          <w:sz w:val="24"/>
        </w:rPr>
        <w:br w:type="page"/>
      </w:r>
    </w:p>
    <w:p>
      <w:pPr>
        <w:numPr>
          <w:ilvl w:val="0"/>
          <w:numId w:val="3"/>
        </w:numPr>
        <w:spacing w:line="560" w:lineRule="exact"/>
        <w:ind w:firstLine="0"/>
        <w:jc w:val="center"/>
        <w:outlineLvl w:val="0"/>
        <w:rPr>
          <w:rFonts w:ascii="方正小标宋简体" w:hAnsi="方正小标宋简体" w:eastAsia="方正小标宋简体" w:cs="方正小标宋简体"/>
          <w:color w:val="auto"/>
          <w:kern w:val="2"/>
          <w:sz w:val="32"/>
          <w:szCs w:val="32"/>
        </w:rPr>
      </w:pPr>
      <w:bookmarkStart w:id="298" w:name="_Toc8812"/>
      <w:bookmarkStart w:id="299" w:name="_Toc11285"/>
      <w:r>
        <w:rPr>
          <w:rFonts w:hint="eastAsia" w:ascii="方正小标宋简体" w:hAnsi="方正小标宋简体" w:eastAsia="方正小标宋简体" w:cs="方正小标宋简体"/>
          <w:color w:val="auto"/>
          <w:kern w:val="2"/>
          <w:sz w:val="32"/>
          <w:szCs w:val="32"/>
        </w:rPr>
        <w:t>合同主要条款</w:t>
      </w:r>
      <w:bookmarkEnd w:id="298"/>
      <w:bookmarkEnd w:id="299"/>
    </w:p>
    <w:bookmarkEnd w:id="297"/>
    <w:p>
      <w:pPr>
        <w:spacing w:line="550" w:lineRule="exact"/>
        <w:ind w:firstLine="480" w:firstLineChars="200"/>
        <w:rPr>
          <w:rFonts w:ascii="仿宋" w:eastAsia="仿宋" w:cs="仿宋"/>
          <w:color w:val="auto"/>
          <w:sz w:val="24"/>
          <w:szCs w:val="24"/>
        </w:rPr>
      </w:pP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合同编号：XXXX。</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签订地点：成都市</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签订时间：2023年X月X日。</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比选人(甲方):四川蜀物兴川物流发展有限公司</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中选人（乙方）：</w:t>
      </w:r>
    </w:p>
    <w:p>
      <w:pPr>
        <w:spacing w:line="550" w:lineRule="exact"/>
        <w:ind w:firstLine="480" w:firstLineChars="200"/>
        <w:rPr>
          <w:rFonts w:ascii="仿宋" w:eastAsia="仿宋" w:cs="仿宋"/>
          <w:color w:val="auto"/>
          <w:sz w:val="24"/>
          <w:szCs w:val="24"/>
        </w:rPr>
      </w:pPr>
    </w:p>
    <w:p>
      <w:pPr>
        <w:spacing w:line="550" w:lineRule="exact"/>
        <w:ind w:firstLine="480" w:firstLineChars="200"/>
        <w:rPr>
          <w:rFonts w:ascii="仿宋" w:eastAsia="仿宋" w:cs="仿宋"/>
          <w:color w:val="auto"/>
          <w:sz w:val="24"/>
          <w:szCs w:val="24"/>
        </w:rPr>
      </w:pPr>
      <w:bookmarkStart w:id="300" w:name="_Toc217446115"/>
      <w:r>
        <w:rPr>
          <w:rFonts w:hint="eastAsia" w:ascii="仿宋" w:eastAsia="仿宋" w:cs="仿宋"/>
          <w:color w:val="auto"/>
          <w:sz w:val="24"/>
          <w:szCs w:val="24"/>
        </w:rPr>
        <w:t>根据《中华人民共和国民法典》及</w:t>
      </w:r>
      <w:r>
        <w:rPr>
          <w:rFonts w:ascii="Times New Roman" w:eastAsia="仿宋_GB2312"/>
          <w:bCs/>
          <w:color w:val="auto"/>
          <w:kern w:val="2"/>
          <w:sz w:val="24"/>
          <w:szCs w:val="24"/>
        </w:rPr>
        <w:t>某公司港口作业纠纷案件诉讼及过程法律服务采购项目</w:t>
      </w:r>
      <w:r>
        <w:rPr>
          <w:rFonts w:hint="eastAsia" w:ascii="仿宋" w:eastAsia="仿宋" w:cs="仿宋"/>
          <w:color w:val="auto"/>
          <w:sz w:val="24"/>
          <w:szCs w:val="24"/>
        </w:rPr>
        <w:t>（项目编号：）的《比选文件》、乙方的《比选申请文件》及《中选通知书》，甲、乙双方同意签订本合同。合同附件及本项目的比选文件、比选申请文件、《中选通知书》等均为本合同不可分割的部分。双方同意共同遵守如下条款：</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一、项目概况</w:t>
      </w:r>
    </w:p>
    <w:p>
      <w:pPr>
        <w:spacing w:line="550" w:lineRule="exact"/>
        <w:ind w:firstLine="480" w:firstLineChars="200"/>
        <w:rPr>
          <w:rFonts w:ascii="仿宋" w:eastAsia="仿宋" w:cs="仿宋"/>
          <w:color w:val="auto"/>
          <w:sz w:val="24"/>
          <w:szCs w:val="24"/>
        </w:rPr>
      </w:pPr>
      <w:r>
        <w:rPr>
          <w:rFonts w:hint="eastAsia" w:ascii="仿宋_GB2312" w:hAnsi="仿宋_GB2312" w:eastAsia="仿宋_GB2312" w:cs="仿宋_GB2312"/>
          <w:color w:val="auto"/>
          <w:sz w:val="24"/>
        </w:rPr>
        <w:t>2024年1月2日，甲方收到雷波县人民法院《（2023）川3437民初1678号受理案件通知书》，根据原告上诉请求:1.变更(2022)川3437民初333号《民事判决书》第二项为“被告交投物流公司于本判决生效之日起三十日内支付原告正向物流公司服务费214470.16元;2.撤销(2022)川3437民初333号《民事判决书》的第三项；3.改判支持上诉人在一审中的第二项诉讼请求，即被上诉人应赔偿上诉人损失12789359.21元；4.判令被上诉人承担本案一审、二审全部诉讼费用。为维护甲方合法权益，现委托乙方代理甲方应诉。</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二、合同期限</w:t>
      </w:r>
    </w:p>
    <w:p>
      <w:pPr>
        <w:spacing w:line="550" w:lineRule="exact"/>
        <w:ind w:firstLine="480" w:firstLineChars="200"/>
        <w:rPr>
          <w:rFonts w:ascii="仿宋" w:eastAsia="仿宋" w:cs="仿宋"/>
          <w:color w:val="auto"/>
          <w:sz w:val="24"/>
          <w:szCs w:val="24"/>
        </w:rPr>
      </w:pPr>
      <w:bookmarkStart w:id="301" w:name="_Toc239233914"/>
      <w:bookmarkStart w:id="302" w:name="_Toc211911348"/>
      <w:bookmarkStart w:id="303" w:name="_Toc251768862"/>
      <w:bookmarkStart w:id="304" w:name="_Toc185395249"/>
      <w:bookmarkStart w:id="305" w:name="_Toc283019214"/>
      <w:bookmarkStart w:id="306" w:name="_Toc241833903"/>
      <w:bookmarkStart w:id="307" w:name="_Toc211854449"/>
      <w:bookmarkStart w:id="308" w:name="_Toc212019594"/>
      <w:bookmarkStart w:id="309" w:name="_Toc237145406"/>
      <w:bookmarkStart w:id="310" w:name="_Toc282696226"/>
      <w:bookmarkStart w:id="311" w:name="_Toc232492928"/>
      <w:bookmarkStart w:id="312" w:name="_Toc238984975"/>
      <w:bookmarkStart w:id="313" w:name="_Toc225670751"/>
      <w:bookmarkStart w:id="314" w:name="_Toc225654644"/>
      <w:bookmarkStart w:id="315" w:name="_Toc286993786"/>
      <w:bookmarkStart w:id="316" w:name="_Toc239568418"/>
      <w:bookmarkStart w:id="317" w:name="_Toc247334841"/>
      <w:bookmarkStart w:id="318" w:name="_Toc225244852"/>
      <w:r>
        <w:rPr>
          <w:rFonts w:hint="eastAsia" w:ascii="仿宋" w:eastAsia="仿宋" w:cs="仿宋"/>
          <w:color w:val="auto"/>
          <w:sz w:val="24"/>
          <w:szCs w:val="24"/>
        </w:rPr>
        <w:t>自合同签订之日起至本案发回重审一审、二审（或有）、执行（或有）。</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三、服务内容与质量标准</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1.指派的律师服务团队在提供服务过程中应当及时向甲方、相关部门和单位调取案件所必需的证据；</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2.指派的律师团队在提供服务过程中需制定相应的诉讼策略和诉讼方案，如：二审诉讼代理方案中案件概况、代理思路、案件重点、难点、风险点、应诉策略、进度安排、组织措施等；</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3.指派的律师团队在代为诉讼的同时应甲方的要求需协助甲方妥善处理与诉讼相关纠纷；</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4.指派的律师团队应当以其依据法律作出的专业判断，向甲方进行法律风险提示，尽最大努力维护甲方的合法利益；</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5.代理期间，将拟定的包括但不限于代理方案、答辩状、证据目录、质证意见、代理意见等交甲方审阅。</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6.乙方应当根据审判机关的要求，及时提交证据，按时参加审理活动并应及时向甲方通报案件进展情况。</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7.指派的律师团队对委托办理的案件应当独立建档，并保存完整的工作记录，对涉及甲方的原始证据、法律文件和财物应当妥善保管；</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8.指派的律师团队应当保守其在接受甲方委托代理案件过程中知悉的国家秘密、商业秘密、个人隐私，以及甲方明确表示不能对外公开的信息。</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四、服务费用及支付方式</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1.基础代理费：包括所有诉讼程序中的代理费、差旅费、利润、风险、税金等完成本项目所有费用，</w:t>
      </w:r>
      <w:r>
        <w:rPr>
          <w:rFonts w:hint="eastAsia" w:ascii="仿宋" w:eastAsia="仿宋"/>
          <w:color w:val="auto"/>
          <w:kern w:val="2"/>
          <w:sz w:val="24"/>
          <w:szCs w:val="24"/>
        </w:rPr>
        <w:t>为</w:t>
      </w:r>
      <w:r>
        <w:rPr>
          <w:rFonts w:hint="eastAsia" w:ascii="仿宋" w:eastAsia="仿宋"/>
          <w:color w:val="auto"/>
          <w:kern w:val="2"/>
          <w:sz w:val="24"/>
          <w:szCs w:val="24"/>
          <w:u w:val="single"/>
        </w:rPr>
        <w:t xml:space="preserve"> 应用中选结果 </w:t>
      </w:r>
      <w:r>
        <w:rPr>
          <w:rFonts w:hint="eastAsia" w:ascii="仿宋" w:eastAsia="仿宋"/>
          <w:color w:val="auto"/>
          <w:kern w:val="2"/>
          <w:sz w:val="24"/>
          <w:szCs w:val="24"/>
        </w:rPr>
        <w:t>万元</w:t>
      </w:r>
      <w:r>
        <w:rPr>
          <w:rFonts w:hint="eastAsia" w:ascii="仿宋" w:eastAsia="仿宋" w:cs="仿宋"/>
          <w:color w:val="auto"/>
          <w:sz w:val="24"/>
          <w:szCs w:val="24"/>
        </w:rPr>
        <w:t>。甲方在签订合同且收到乙方全额增值税专用发票后5日内支付全部基础代理费用。</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2.风险代理费：以原告诉讼请求金额与生效法律文书（包括判决书、调解书、和解协议）明确甲方实际赔付金额的差额部分为计算风险代理费的基数，风险代理费=报价比例*基数。计费标准及支付条件如下：</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（1）当甲方实际赔付金额不超过原告诉讼请求金额12,789,359.21元的50%（即6,394,679.60元）时，按下列方式计算风险代理费，否则甲方仅支付基础代理费用。</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（2）基数为0万元（不含）-100万元（含）时，风险代理费</w:t>
      </w:r>
      <w:r>
        <w:rPr>
          <w:rFonts w:hint="eastAsia" w:ascii="仿宋" w:eastAsia="仿宋"/>
          <w:color w:val="auto"/>
          <w:kern w:val="2"/>
          <w:sz w:val="24"/>
          <w:szCs w:val="24"/>
        </w:rPr>
        <w:t>率为</w:t>
      </w:r>
      <w:r>
        <w:rPr>
          <w:rFonts w:hint="eastAsia" w:ascii="仿宋" w:eastAsia="仿宋"/>
          <w:color w:val="auto"/>
          <w:kern w:val="2"/>
          <w:sz w:val="24"/>
          <w:szCs w:val="24"/>
          <w:u w:val="single"/>
        </w:rPr>
        <w:t xml:space="preserve"> 应用中选结果 </w:t>
      </w:r>
      <w:r>
        <w:rPr>
          <w:rFonts w:hint="eastAsia" w:ascii="仿宋" w:eastAsia="仿宋"/>
          <w:color w:val="auto"/>
          <w:kern w:val="2"/>
          <w:sz w:val="24"/>
          <w:szCs w:val="24"/>
        </w:rPr>
        <w:t>%</w:t>
      </w:r>
      <w:r>
        <w:rPr>
          <w:rFonts w:hint="eastAsia" w:ascii="仿宋" w:eastAsia="仿宋" w:cs="仿宋"/>
          <w:color w:val="auto"/>
          <w:sz w:val="24"/>
          <w:szCs w:val="24"/>
        </w:rPr>
        <w:t>；</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（3）基数为100万元（不含）-500万元（含）时，风险代理费</w:t>
      </w:r>
      <w:r>
        <w:rPr>
          <w:rFonts w:hint="eastAsia" w:ascii="仿宋" w:eastAsia="仿宋"/>
          <w:color w:val="auto"/>
          <w:kern w:val="2"/>
          <w:sz w:val="24"/>
          <w:szCs w:val="24"/>
        </w:rPr>
        <w:t>率为</w:t>
      </w:r>
      <w:r>
        <w:rPr>
          <w:rFonts w:hint="eastAsia" w:ascii="仿宋" w:eastAsia="仿宋"/>
          <w:color w:val="auto"/>
          <w:kern w:val="2"/>
          <w:sz w:val="24"/>
          <w:szCs w:val="24"/>
          <w:u w:val="single"/>
        </w:rPr>
        <w:t xml:space="preserve"> 应用中选结果 </w:t>
      </w:r>
      <w:r>
        <w:rPr>
          <w:rFonts w:hint="eastAsia" w:ascii="仿宋" w:eastAsia="仿宋"/>
          <w:color w:val="auto"/>
          <w:kern w:val="2"/>
          <w:sz w:val="24"/>
          <w:szCs w:val="24"/>
        </w:rPr>
        <w:t>%</w:t>
      </w:r>
      <w:r>
        <w:rPr>
          <w:rFonts w:hint="eastAsia" w:ascii="仿宋" w:eastAsia="仿宋" w:cs="仿宋"/>
          <w:color w:val="auto"/>
          <w:sz w:val="24"/>
          <w:szCs w:val="24"/>
        </w:rPr>
        <w:t>；</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（4）基数为5,000,000.00元（不含）-6,394,679.61元（含）时，风险代理费</w:t>
      </w:r>
      <w:r>
        <w:rPr>
          <w:rFonts w:hint="eastAsia" w:ascii="仿宋" w:eastAsia="仿宋"/>
          <w:color w:val="auto"/>
          <w:kern w:val="2"/>
          <w:sz w:val="24"/>
          <w:szCs w:val="24"/>
        </w:rPr>
        <w:t>率为</w:t>
      </w:r>
      <w:r>
        <w:rPr>
          <w:rFonts w:hint="eastAsia" w:ascii="仿宋" w:eastAsia="仿宋"/>
          <w:color w:val="auto"/>
          <w:kern w:val="2"/>
          <w:sz w:val="24"/>
          <w:szCs w:val="24"/>
          <w:u w:val="single"/>
        </w:rPr>
        <w:t xml:space="preserve"> 应用中选结果 </w:t>
      </w:r>
      <w:r>
        <w:rPr>
          <w:rFonts w:hint="eastAsia" w:ascii="仿宋" w:eastAsia="仿宋"/>
          <w:color w:val="auto"/>
          <w:kern w:val="2"/>
          <w:sz w:val="24"/>
          <w:szCs w:val="24"/>
        </w:rPr>
        <w:t>%</w:t>
      </w:r>
      <w:r>
        <w:rPr>
          <w:rFonts w:hint="eastAsia" w:ascii="仿宋" w:eastAsia="仿宋" w:cs="仿宋"/>
          <w:color w:val="auto"/>
          <w:sz w:val="24"/>
          <w:szCs w:val="24"/>
        </w:rPr>
        <w:t>；</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（5）甲方在收到最终生效法律文书且收到乙方全额增值税专用发票后5日内支付对应风险代理费用。</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3.</w:t>
      </w:r>
      <w:r>
        <w:rPr>
          <w:rFonts w:hint="eastAsia" w:ascii="仿宋" w:eastAsia="仿宋"/>
          <w:color w:val="auto"/>
          <w:kern w:val="2"/>
          <w:sz w:val="24"/>
          <w:szCs w:val="24"/>
        </w:rPr>
        <w:t>本项目所涉服务费用总额限价</w:t>
      </w:r>
      <w:r>
        <w:rPr>
          <w:rFonts w:hint="eastAsia" w:ascii="仿宋" w:eastAsia="仿宋"/>
          <w:color w:val="auto"/>
          <w:kern w:val="2"/>
          <w:sz w:val="24"/>
          <w:szCs w:val="24"/>
          <w:u w:val="single"/>
        </w:rPr>
        <w:t xml:space="preserve"> 应用中选结果 </w:t>
      </w:r>
      <w:r>
        <w:rPr>
          <w:rFonts w:hint="eastAsia" w:ascii="仿宋" w:eastAsia="仿宋"/>
          <w:color w:val="auto"/>
          <w:kern w:val="2"/>
          <w:sz w:val="24"/>
          <w:szCs w:val="24"/>
        </w:rPr>
        <w:t>万元，无论按照前述第1、2项计算的代理费金额是多少，乙方承诺放弃超过</w:t>
      </w:r>
      <w:r>
        <w:rPr>
          <w:rFonts w:hint="eastAsia" w:ascii="仿宋" w:eastAsia="仿宋"/>
          <w:color w:val="auto"/>
          <w:kern w:val="2"/>
          <w:sz w:val="24"/>
          <w:szCs w:val="24"/>
          <w:u w:val="single"/>
        </w:rPr>
        <w:t xml:space="preserve"> 应用中选结果 </w:t>
      </w:r>
      <w:r>
        <w:rPr>
          <w:rFonts w:hint="eastAsia" w:ascii="仿宋" w:eastAsia="仿宋"/>
          <w:color w:val="auto"/>
          <w:kern w:val="2"/>
          <w:sz w:val="24"/>
          <w:szCs w:val="24"/>
        </w:rPr>
        <w:t>万元的部分。</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4.乙方在进行甲方委托办理的法律事务过程中发生的诉讼费、仲裁费、保全费、鉴定费、公证费、公告费等费用，凭乙方合法有效票据由甲方实报实销。</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5.乙方收款账户信息：</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账户名称：</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开户行：</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账号：</w:t>
      </w: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行号：</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五、知识产权</w:t>
      </w:r>
    </w:p>
    <w:p>
      <w:pPr>
        <w:tabs>
          <w:tab w:val="left" w:pos="1440"/>
        </w:tabs>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乙方应保证所提供的服务或其任何一部分均不会侵犯任何第三方的专利权、商标权或著作权。</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六、甲方的权利和义务</w:t>
      </w:r>
    </w:p>
    <w:p>
      <w:pPr>
        <w:numPr>
          <w:ilvl w:val="0"/>
          <w:numId w:val="10"/>
        </w:numPr>
        <w:tabs>
          <w:tab w:val="left" w:pos="1440"/>
        </w:tabs>
        <w:adjustRightInd w:val="0"/>
        <w:spacing w:line="550" w:lineRule="exact"/>
        <w:ind w:left="0" w:firstLine="480" w:firstLineChars="200"/>
        <w:textAlignment w:val="baseline"/>
        <w:rPr>
          <w:rFonts w:ascii="仿宋" w:eastAsia="仿宋" w:cs="仿宋"/>
          <w:bCs/>
          <w:color w:val="auto"/>
          <w:sz w:val="24"/>
          <w:szCs w:val="24"/>
        </w:rPr>
      </w:pPr>
      <w:r>
        <w:rPr>
          <w:rFonts w:hint="eastAsia" w:ascii="仿宋" w:eastAsia="仿宋" w:cs="仿宋"/>
          <w:bCs/>
          <w:color w:val="auto"/>
          <w:sz w:val="24"/>
          <w:szCs w:val="24"/>
        </w:rPr>
        <w:t>甲方有权向乙方了解案件进展情况和结果。</w:t>
      </w:r>
    </w:p>
    <w:p>
      <w:pPr>
        <w:numPr>
          <w:ilvl w:val="0"/>
          <w:numId w:val="10"/>
        </w:numPr>
        <w:tabs>
          <w:tab w:val="left" w:pos="1440"/>
        </w:tabs>
        <w:adjustRightInd w:val="0"/>
        <w:spacing w:line="550" w:lineRule="exact"/>
        <w:ind w:left="0" w:firstLine="480" w:firstLineChars="200"/>
        <w:textAlignment w:val="baseline"/>
        <w:rPr>
          <w:rFonts w:ascii="仿宋" w:eastAsia="仿宋" w:cs="仿宋"/>
          <w:bCs/>
          <w:color w:val="auto"/>
          <w:sz w:val="24"/>
          <w:szCs w:val="24"/>
        </w:rPr>
      </w:pPr>
      <w:r>
        <w:rPr>
          <w:rFonts w:ascii="仿宋" w:eastAsia="仿宋" w:cs="仿宋"/>
          <w:bCs/>
          <w:color w:val="auto"/>
          <w:sz w:val="24"/>
          <w:szCs w:val="24"/>
        </w:rPr>
        <w:t>全面、客观、真实地向乙方介绍案件情况，及时向乙方提供与案件有关的文件（复印件），并保证其真实、合法。（注：证据原件由甲方自行保存，若确需交原件与承办律师，双方应办理各方签名的证据交接清单）</w:t>
      </w:r>
    </w:p>
    <w:p>
      <w:pPr>
        <w:numPr>
          <w:ilvl w:val="0"/>
          <w:numId w:val="10"/>
        </w:numPr>
        <w:tabs>
          <w:tab w:val="left" w:pos="1440"/>
        </w:tabs>
        <w:adjustRightInd w:val="0"/>
        <w:spacing w:line="550" w:lineRule="exact"/>
        <w:ind w:left="0" w:firstLine="480" w:firstLineChars="200"/>
        <w:textAlignment w:val="baseline"/>
        <w:rPr>
          <w:rFonts w:ascii="仿宋" w:eastAsia="仿宋" w:cs="仿宋"/>
          <w:bCs/>
          <w:color w:val="auto"/>
          <w:sz w:val="24"/>
          <w:szCs w:val="24"/>
        </w:rPr>
      </w:pPr>
      <w:r>
        <w:rPr>
          <w:rFonts w:hint="eastAsia" w:ascii="仿宋" w:eastAsia="仿宋" w:cs="仿宋"/>
          <w:bCs/>
          <w:color w:val="auto"/>
          <w:sz w:val="24"/>
          <w:szCs w:val="24"/>
        </w:rPr>
        <w:t>根据本合同规定，按时向乙方支付应付服务费用。</w:t>
      </w:r>
    </w:p>
    <w:p>
      <w:pPr>
        <w:numPr>
          <w:ilvl w:val="0"/>
          <w:numId w:val="10"/>
        </w:numPr>
        <w:tabs>
          <w:tab w:val="left" w:pos="1440"/>
        </w:tabs>
        <w:adjustRightInd w:val="0"/>
        <w:spacing w:line="550" w:lineRule="exact"/>
        <w:ind w:left="0" w:firstLine="480" w:firstLineChars="200"/>
        <w:textAlignment w:val="baseline"/>
        <w:rPr>
          <w:rFonts w:ascii="仿宋" w:eastAsia="仿宋" w:cs="仿宋"/>
          <w:bCs/>
          <w:color w:val="auto"/>
          <w:sz w:val="24"/>
          <w:szCs w:val="24"/>
        </w:rPr>
      </w:pPr>
      <w:r>
        <w:rPr>
          <w:rFonts w:hint="eastAsia" w:ascii="仿宋" w:eastAsia="仿宋" w:cs="仿宋"/>
          <w:bCs/>
          <w:color w:val="auto"/>
          <w:sz w:val="24"/>
          <w:szCs w:val="24"/>
        </w:rPr>
        <w:t>国家法律、法规所规定由甲方承担的其它责任。</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七、乙方的权利和义务</w:t>
      </w:r>
    </w:p>
    <w:p>
      <w:pPr>
        <w:numPr>
          <w:ilvl w:val="0"/>
          <w:numId w:val="11"/>
        </w:numPr>
        <w:adjustRightInd w:val="0"/>
        <w:spacing w:line="550" w:lineRule="exact"/>
        <w:ind w:left="0" w:firstLine="480" w:firstLineChars="200"/>
        <w:textAlignment w:val="baseline"/>
        <w:rPr>
          <w:rFonts w:ascii="仿宋" w:eastAsia="仿宋" w:cs="仿宋"/>
          <w:bCs/>
          <w:color w:val="auto"/>
          <w:sz w:val="24"/>
          <w:szCs w:val="24"/>
        </w:rPr>
      </w:pPr>
      <w:r>
        <w:rPr>
          <w:rFonts w:hint="eastAsia" w:ascii="仿宋" w:eastAsia="仿宋" w:cs="仿宋"/>
          <w:bCs/>
          <w:color w:val="auto"/>
          <w:sz w:val="24"/>
          <w:szCs w:val="24"/>
        </w:rPr>
        <w:t>对本合同规定的委托服务范围内的事项享有管理权及服务义务。</w:t>
      </w:r>
    </w:p>
    <w:p>
      <w:pPr>
        <w:numPr>
          <w:ilvl w:val="0"/>
          <w:numId w:val="11"/>
        </w:numPr>
        <w:adjustRightInd w:val="0"/>
        <w:spacing w:line="550" w:lineRule="exact"/>
        <w:ind w:left="0" w:firstLine="480" w:firstLineChars="200"/>
        <w:textAlignment w:val="baseline"/>
        <w:rPr>
          <w:rFonts w:ascii="仿宋" w:eastAsia="仿宋" w:cs="仿宋"/>
          <w:bCs/>
          <w:color w:val="auto"/>
          <w:sz w:val="24"/>
          <w:szCs w:val="24"/>
        </w:rPr>
      </w:pPr>
      <w:r>
        <w:rPr>
          <w:rFonts w:hint="eastAsia" w:ascii="仿宋" w:eastAsia="仿宋" w:cs="仿宋"/>
          <w:bCs/>
          <w:color w:val="auto"/>
          <w:sz w:val="24"/>
          <w:szCs w:val="24"/>
        </w:rPr>
        <w:t>根据本合同的规定向甲方收取相关服务费用。</w:t>
      </w:r>
    </w:p>
    <w:p>
      <w:pPr>
        <w:numPr>
          <w:ilvl w:val="0"/>
          <w:numId w:val="11"/>
        </w:numPr>
        <w:adjustRightInd w:val="0"/>
        <w:spacing w:line="550" w:lineRule="exact"/>
        <w:ind w:left="0" w:firstLine="480" w:firstLineChars="200"/>
        <w:textAlignment w:val="baseline"/>
        <w:rPr>
          <w:rFonts w:ascii="仿宋" w:eastAsia="仿宋" w:cs="仿宋"/>
          <w:bCs/>
          <w:color w:val="auto"/>
          <w:sz w:val="24"/>
          <w:szCs w:val="24"/>
        </w:rPr>
      </w:pPr>
      <w:r>
        <w:rPr>
          <w:rFonts w:ascii="仿宋" w:eastAsia="仿宋" w:cs="仿宋"/>
          <w:color w:val="auto"/>
          <w:sz w:val="24"/>
          <w:szCs w:val="24"/>
        </w:rPr>
        <w:t>乙方律师工作上勤勉尽职，恪守律师职业道德和执业纪律，办案中严格遵循《律师办理</w:t>
      </w:r>
      <w:bookmarkStart w:id="319" w:name="law_firsthit"/>
      <w:bookmarkEnd w:id="319"/>
      <w:r>
        <w:rPr>
          <w:rFonts w:ascii="仿宋" w:eastAsia="仿宋" w:cs="仿宋"/>
          <w:color w:val="auto"/>
          <w:sz w:val="24"/>
          <w:szCs w:val="24"/>
        </w:rPr>
        <w:t>民事诉讼案件规范》的规定。</w:t>
      </w:r>
    </w:p>
    <w:p>
      <w:pPr>
        <w:numPr>
          <w:ilvl w:val="0"/>
          <w:numId w:val="11"/>
        </w:numPr>
        <w:adjustRightInd w:val="0"/>
        <w:spacing w:line="550" w:lineRule="exact"/>
        <w:ind w:left="0" w:firstLine="480" w:firstLineChars="200"/>
        <w:textAlignment w:val="baseline"/>
        <w:rPr>
          <w:rFonts w:ascii="仿宋" w:eastAsia="仿宋" w:cs="仿宋"/>
          <w:bCs/>
          <w:color w:val="auto"/>
          <w:sz w:val="24"/>
          <w:szCs w:val="24"/>
        </w:rPr>
      </w:pPr>
      <w:r>
        <w:rPr>
          <w:rFonts w:ascii="仿宋" w:eastAsia="仿宋" w:cs="仿宋"/>
          <w:color w:val="auto"/>
          <w:sz w:val="24"/>
          <w:szCs w:val="24"/>
        </w:rPr>
        <w:t>乙方律师应当以其依据法律做出的判断，向甲方进行法律风险提示；及时提交证据，按时出庭，应甲方要求通报案件进展情况。</w:t>
      </w:r>
    </w:p>
    <w:p>
      <w:pPr>
        <w:numPr>
          <w:ilvl w:val="0"/>
          <w:numId w:val="11"/>
        </w:numPr>
        <w:adjustRightInd w:val="0"/>
        <w:spacing w:line="550" w:lineRule="exact"/>
        <w:ind w:left="0" w:firstLine="480" w:firstLineChars="200"/>
        <w:textAlignment w:val="baseline"/>
        <w:rPr>
          <w:rFonts w:ascii="仿宋" w:eastAsia="仿宋" w:cs="仿宋"/>
          <w:bCs/>
          <w:color w:val="auto"/>
          <w:sz w:val="24"/>
          <w:szCs w:val="24"/>
        </w:rPr>
      </w:pPr>
      <w:r>
        <w:rPr>
          <w:rFonts w:hint="eastAsia" w:ascii="仿宋" w:eastAsia="仿宋" w:cs="仿宋"/>
          <w:bCs/>
          <w:color w:val="auto"/>
          <w:sz w:val="24"/>
          <w:szCs w:val="24"/>
        </w:rPr>
        <w:t>国家法律、法规所规定由乙方承担的其它责任。</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八、违约责任</w:t>
      </w:r>
    </w:p>
    <w:p>
      <w:pPr>
        <w:numPr>
          <w:ilvl w:val="0"/>
          <w:numId w:val="12"/>
        </w:numPr>
        <w:adjustRightInd w:val="0"/>
        <w:spacing w:line="550" w:lineRule="exact"/>
        <w:ind w:left="0" w:firstLine="480" w:firstLineChars="200"/>
        <w:textAlignment w:val="baseline"/>
        <w:rPr>
          <w:rFonts w:ascii="仿宋" w:eastAsia="仿宋" w:cs="仿宋"/>
          <w:bCs/>
          <w:color w:val="auto"/>
          <w:sz w:val="24"/>
          <w:szCs w:val="24"/>
        </w:rPr>
      </w:pPr>
      <w:r>
        <w:rPr>
          <w:rFonts w:hint="eastAsia" w:ascii="仿宋" w:eastAsia="仿宋" w:cs="仿宋"/>
          <w:bCs/>
          <w:color w:val="auto"/>
          <w:sz w:val="24"/>
          <w:szCs w:val="24"/>
        </w:rPr>
        <w:t>甲乙双方必须遵守本合同并执行合同中的各项规定，保证本合同的正常履行。</w:t>
      </w:r>
    </w:p>
    <w:p>
      <w:pPr>
        <w:numPr>
          <w:ilvl w:val="0"/>
          <w:numId w:val="12"/>
        </w:numPr>
        <w:adjustRightInd w:val="0"/>
        <w:spacing w:line="550" w:lineRule="exact"/>
        <w:ind w:left="0" w:firstLine="480" w:firstLineChars="200"/>
        <w:textAlignment w:val="baseline"/>
        <w:rPr>
          <w:rFonts w:ascii="仿宋" w:eastAsia="仿宋" w:cs="仿宋"/>
          <w:bCs/>
          <w:color w:val="auto"/>
          <w:sz w:val="24"/>
          <w:szCs w:val="24"/>
        </w:rPr>
      </w:pPr>
      <w:r>
        <w:rPr>
          <w:rFonts w:hint="eastAsia" w:ascii="仿宋" w:eastAsia="仿宋" w:cs="仿宋"/>
          <w:bCs/>
          <w:color w:val="auto"/>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九、不可抗力事件处理</w:t>
      </w:r>
    </w:p>
    <w:p>
      <w:pPr>
        <w:tabs>
          <w:tab w:val="left" w:pos="0"/>
        </w:tabs>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1.在合同有效期内，任何一方因不可抗力事件导致不能履行合同，则合同履行期可延长，其延长期与不可抗力影响期相同。</w:t>
      </w:r>
    </w:p>
    <w:p>
      <w:pPr>
        <w:tabs>
          <w:tab w:val="left" w:pos="0"/>
        </w:tabs>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2.不可抗力事件发生后，应立即通知对方，并寄送有关权威机构出具的证明。</w:t>
      </w:r>
    </w:p>
    <w:p>
      <w:pPr>
        <w:tabs>
          <w:tab w:val="left" w:pos="0"/>
        </w:tabs>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3.不可抗力事件延续120天以上，双方应通过友好协商，确定是否继续履行合同。</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bookmarkStart w:id="320" w:name="_Toc238984980"/>
      <w:bookmarkStart w:id="321" w:name="_Toc225670756"/>
      <w:bookmarkStart w:id="322" w:name="_Toc241833908"/>
      <w:bookmarkStart w:id="323" w:name="_Toc286993792"/>
      <w:bookmarkStart w:id="324" w:name="_Toc225244857"/>
      <w:bookmarkStart w:id="325" w:name="_Toc212019599"/>
      <w:bookmarkStart w:id="326" w:name="_Toc239233919"/>
      <w:bookmarkStart w:id="327" w:name="_Toc232492933"/>
      <w:bookmarkStart w:id="328" w:name="_Toc247334846"/>
      <w:bookmarkStart w:id="329" w:name="_Toc211911353"/>
      <w:bookmarkStart w:id="330" w:name="_Toc185395254"/>
      <w:bookmarkStart w:id="331" w:name="_Toc251768867"/>
      <w:bookmarkStart w:id="332" w:name="_Toc225654649"/>
      <w:bookmarkStart w:id="333" w:name="_Toc237145411"/>
      <w:bookmarkStart w:id="334" w:name="_Toc239568423"/>
      <w:bookmarkStart w:id="335" w:name="_Toc211854454"/>
      <w:r>
        <w:rPr>
          <w:rFonts w:hint="eastAsia" w:ascii="黑体" w:hAnsi="黑体" w:cs="黑体"/>
          <w:b w:val="0"/>
          <w:color w:val="auto"/>
          <w:kern w:val="2"/>
          <w:sz w:val="28"/>
          <w:szCs w:val="28"/>
        </w:rPr>
        <w:t>十、解决合同纠纷的方式</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tabs>
          <w:tab w:val="left" w:pos="0"/>
        </w:tabs>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t>在执行本合同中发生的或与本合同有关的争端，双方应通过友好协商解决，协商不成，向成都仲裁委员会申请仲裁。</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bookmarkStart w:id="336" w:name="_Toc238984981"/>
      <w:bookmarkStart w:id="337" w:name="_Toc237145412"/>
      <w:bookmarkStart w:id="338" w:name="_Toc282696231"/>
      <w:bookmarkStart w:id="339" w:name="_Toc283019219"/>
      <w:bookmarkStart w:id="340" w:name="_Toc185395255"/>
      <w:bookmarkStart w:id="341" w:name="_Toc232492934"/>
      <w:bookmarkStart w:id="342" w:name="_Toc251768868"/>
      <w:bookmarkStart w:id="343" w:name="_Toc286993793"/>
      <w:bookmarkStart w:id="344" w:name="_Toc212019600"/>
      <w:bookmarkStart w:id="345" w:name="_Toc211854455"/>
      <w:bookmarkStart w:id="346" w:name="_Toc241833909"/>
      <w:bookmarkStart w:id="347" w:name="_Toc225670757"/>
      <w:bookmarkStart w:id="348" w:name="_Toc225244858"/>
      <w:bookmarkStart w:id="349" w:name="_Toc239233920"/>
      <w:bookmarkStart w:id="350" w:name="_Toc211911354"/>
      <w:bookmarkStart w:id="351" w:name="_Toc239568424"/>
      <w:bookmarkStart w:id="352" w:name="_Toc225654650"/>
      <w:bookmarkStart w:id="353" w:name="_Toc247334847"/>
      <w:r>
        <w:rPr>
          <w:rFonts w:hint="eastAsia" w:ascii="黑体" w:hAnsi="黑体" w:cs="黑体"/>
          <w:b w:val="0"/>
          <w:color w:val="auto"/>
          <w:kern w:val="2"/>
          <w:sz w:val="28"/>
          <w:szCs w:val="28"/>
        </w:rPr>
        <w:t>十一、合同</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ascii="黑体" w:hAnsi="黑体" w:cs="黑体"/>
          <w:b w:val="0"/>
          <w:color w:val="auto"/>
          <w:kern w:val="2"/>
          <w:sz w:val="28"/>
          <w:szCs w:val="28"/>
        </w:rPr>
        <w:t>生效</w:t>
      </w:r>
    </w:p>
    <w:p>
      <w:pPr>
        <w:pStyle w:val="80"/>
        <w:spacing w:after="0" w:line="550" w:lineRule="exact"/>
        <w:ind w:firstLine="480"/>
        <w:rPr>
          <w:rFonts w:ascii="仿宋" w:eastAsia="仿宋" w:cs="仿宋"/>
          <w:color w:val="auto"/>
          <w:sz w:val="24"/>
          <w:szCs w:val="24"/>
        </w:rPr>
      </w:pPr>
      <w:r>
        <w:rPr>
          <w:rFonts w:hint="eastAsia" w:ascii="仿宋" w:eastAsia="仿宋" w:cs="仿宋"/>
          <w:color w:val="auto"/>
          <w:sz w:val="24"/>
          <w:szCs w:val="24"/>
        </w:rPr>
        <w:t>1.合同经双方法定代表人或授权委托代理人签字并加盖单位公章后生效。</w:t>
      </w:r>
    </w:p>
    <w:p>
      <w:pPr>
        <w:pStyle w:val="80"/>
        <w:spacing w:after="0" w:line="550" w:lineRule="exact"/>
        <w:ind w:firstLine="480"/>
        <w:rPr>
          <w:rFonts w:ascii="仿宋" w:eastAsia="仿宋" w:cs="仿宋"/>
          <w:color w:val="auto"/>
          <w:sz w:val="24"/>
          <w:szCs w:val="24"/>
        </w:rPr>
      </w:pPr>
      <w:r>
        <w:rPr>
          <w:rFonts w:hint="eastAsia" w:ascii="仿宋" w:eastAsia="仿宋" w:cs="仿宋"/>
          <w:color w:val="auto"/>
          <w:sz w:val="24"/>
          <w:szCs w:val="24"/>
        </w:rPr>
        <w:t>2.合同执行中涉及合同金额和服务内容修改或补充的，须签书面补充协议方可作为主合同不可分割的一部分。</w:t>
      </w:r>
    </w:p>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十二、附件</w:t>
      </w:r>
    </w:p>
    <w:p>
      <w:pPr>
        <w:pStyle w:val="80"/>
        <w:spacing w:after="0" w:line="550" w:lineRule="exact"/>
        <w:ind w:firstLine="480"/>
        <w:rPr>
          <w:rFonts w:ascii="仿宋" w:eastAsia="仿宋" w:cs="仿宋"/>
          <w:color w:val="auto"/>
          <w:sz w:val="24"/>
          <w:szCs w:val="24"/>
        </w:rPr>
      </w:pPr>
      <w:r>
        <w:rPr>
          <w:rFonts w:hint="eastAsia" w:ascii="仿宋" w:eastAsia="仿宋" w:cs="仿宋"/>
          <w:color w:val="auto"/>
          <w:sz w:val="24"/>
          <w:szCs w:val="24"/>
        </w:rPr>
        <w:t>1.比选文件</w:t>
      </w:r>
    </w:p>
    <w:p>
      <w:pPr>
        <w:pStyle w:val="80"/>
        <w:spacing w:after="0" w:line="550" w:lineRule="exact"/>
        <w:ind w:firstLine="480"/>
        <w:rPr>
          <w:rFonts w:ascii="仿宋" w:eastAsia="仿宋" w:cs="仿宋"/>
          <w:color w:val="auto"/>
          <w:sz w:val="24"/>
          <w:szCs w:val="24"/>
        </w:rPr>
      </w:pPr>
      <w:r>
        <w:rPr>
          <w:rFonts w:hint="eastAsia" w:ascii="仿宋" w:eastAsia="仿宋" w:cs="仿宋"/>
          <w:color w:val="auto"/>
          <w:sz w:val="24"/>
          <w:szCs w:val="24"/>
        </w:rPr>
        <w:t>2.修改澄清文件</w:t>
      </w:r>
    </w:p>
    <w:p>
      <w:pPr>
        <w:pStyle w:val="80"/>
        <w:spacing w:after="0" w:line="550" w:lineRule="exact"/>
        <w:ind w:firstLine="480"/>
        <w:rPr>
          <w:rFonts w:ascii="仿宋" w:eastAsia="仿宋" w:cs="仿宋"/>
          <w:color w:val="auto"/>
          <w:sz w:val="24"/>
          <w:szCs w:val="24"/>
        </w:rPr>
      </w:pPr>
      <w:r>
        <w:rPr>
          <w:rFonts w:hint="eastAsia" w:ascii="仿宋" w:eastAsia="仿宋" w:cs="仿宋"/>
          <w:color w:val="auto"/>
          <w:sz w:val="24"/>
          <w:szCs w:val="24"/>
        </w:rPr>
        <w:t>3.比选申请文件</w:t>
      </w:r>
    </w:p>
    <w:p>
      <w:pPr>
        <w:pStyle w:val="80"/>
        <w:spacing w:after="0" w:line="550" w:lineRule="exact"/>
        <w:ind w:firstLine="480"/>
        <w:rPr>
          <w:rFonts w:ascii="仿宋" w:eastAsia="仿宋" w:cs="仿宋"/>
          <w:color w:val="auto"/>
          <w:sz w:val="24"/>
          <w:szCs w:val="24"/>
        </w:rPr>
      </w:pPr>
      <w:r>
        <w:rPr>
          <w:rFonts w:hint="eastAsia" w:ascii="仿宋" w:eastAsia="仿宋" w:cs="仿宋"/>
          <w:color w:val="auto"/>
          <w:sz w:val="24"/>
          <w:szCs w:val="24"/>
        </w:rPr>
        <w:t>4.中选通知书</w:t>
      </w:r>
    </w:p>
    <w:p>
      <w:pPr>
        <w:pStyle w:val="80"/>
        <w:spacing w:after="0" w:line="550" w:lineRule="exact"/>
        <w:ind w:firstLine="480"/>
        <w:rPr>
          <w:rFonts w:ascii="仿宋" w:eastAsia="仿宋" w:cs="仿宋"/>
          <w:color w:val="auto"/>
          <w:sz w:val="24"/>
          <w:szCs w:val="24"/>
        </w:rPr>
      </w:pPr>
      <w:r>
        <w:rPr>
          <w:rFonts w:hint="eastAsia" w:ascii="仿宋" w:eastAsia="仿宋" w:cs="仿宋"/>
          <w:color w:val="auto"/>
          <w:sz w:val="24"/>
          <w:szCs w:val="24"/>
        </w:rPr>
        <w:t>5.其他</w:t>
      </w:r>
    </w:p>
    <w:bookmarkEnd w:id="300"/>
    <w:p>
      <w:pPr>
        <w:pStyle w:val="4"/>
        <w:tabs>
          <w:tab w:val="left" w:pos="0"/>
          <w:tab w:val="left" w:pos="720"/>
        </w:tabs>
        <w:spacing w:before="0" w:after="0" w:line="550" w:lineRule="exact"/>
        <w:ind w:firstLine="560" w:firstLineChars="200"/>
        <w:jc w:val="left"/>
        <w:rPr>
          <w:rFonts w:ascii="黑体" w:hAnsi="黑体" w:cs="黑体"/>
          <w:b w:val="0"/>
          <w:color w:val="auto"/>
          <w:kern w:val="2"/>
          <w:sz w:val="28"/>
          <w:szCs w:val="28"/>
        </w:rPr>
      </w:pPr>
      <w:r>
        <w:rPr>
          <w:rFonts w:hint="eastAsia" w:ascii="黑体" w:hAnsi="黑体" w:cs="黑体"/>
          <w:b w:val="0"/>
          <w:color w:val="auto"/>
          <w:kern w:val="2"/>
          <w:sz w:val="28"/>
          <w:szCs w:val="28"/>
        </w:rPr>
        <w:t>十三、其他</w:t>
      </w:r>
    </w:p>
    <w:p>
      <w:pPr>
        <w:pStyle w:val="63"/>
        <w:spacing w:line="550" w:lineRule="exact"/>
        <w:ind w:firstLine="480"/>
        <w:rPr>
          <w:rFonts w:ascii="仿宋" w:eastAsia="仿宋" w:cs="仿宋"/>
          <w:color w:val="auto"/>
          <w:szCs w:val="24"/>
        </w:rPr>
      </w:pPr>
      <w:r>
        <w:rPr>
          <w:rFonts w:hint="eastAsia" w:ascii="仿宋" w:eastAsia="仿宋" w:cs="仿宋"/>
          <w:color w:val="auto"/>
          <w:szCs w:val="24"/>
        </w:rPr>
        <w:t>1.如有未尽事宜，由双方依法订立补充合同。</w:t>
      </w:r>
    </w:p>
    <w:p>
      <w:pPr>
        <w:pStyle w:val="63"/>
        <w:spacing w:line="550" w:lineRule="exact"/>
        <w:ind w:firstLine="480"/>
        <w:rPr>
          <w:rFonts w:ascii="仿宋" w:eastAsia="仿宋" w:cs="仿宋"/>
          <w:color w:val="auto"/>
          <w:szCs w:val="24"/>
        </w:rPr>
      </w:pPr>
      <w:r>
        <w:rPr>
          <w:rFonts w:hint="eastAsia" w:ascii="仿宋" w:eastAsia="仿宋" w:cs="仿宋"/>
          <w:color w:val="auto"/>
          <w:szCs w:val="24"/>
        </w:rPr>
        <w:t>2.本合同一式6份，自双方签章之日起生效。甲方4份，乙方2份</w:t>
      </w:r>
      <w:r>
        <w:rPr>
          <w:rFonts w:hint="eastAsia" w:ascii="仿宋" w:eastAsia="仿宋"/>
          <w:color w:val="auto"/>
          <w:spacing w:val="-6"/>
        </w:rPr>
        <w:t>，</w:t>
      </w:r>
      <w:r>
        <w:rPr>
          <w:rFonts w:hint="eastAsia" w:ascii="仿宋" w:eastAsia="仿宋"/>
          <w:color w:val="auto"/>
          <w:spacing w:val="8"/>
        </w:rPr>
        <w:t>具有同等法律效力。</w:t>
      </w:r>
    </w:p>
    <w:p>
      <w:pPr>
        <w:spacing w:line="550" w:lineRule="exact"/>
        <w:ind w:firstLine="480" w:firstLineChars="200"/>
        <w:rPr>
          <w:rFonts w:ascii="仿宋" w:eastAsia="仿宋" w:cs="仿宋"/>
          <w:color w:val="auto"/>
          <w:sz w:val="24"/>
          <w:szCs w:val="24"/>
        </w:rPr>
      </w:pPr>
    </w:p>
    <w:p>
      <w:pPr>
        <w:pStyle w:val="63"/>
        <w:spacing w:line="550" w:lineRule="exact"/>
        <w:ind w:firstLine="480"/>
        <w:rPr>
          <w:rFonts w:ascii="仿宋" w:eastAsia="仿宋" w:cs="仿宋"/>
          <w:color w:val="auto"/>
          <w:szCs w:val="24"/>
        </w:rPr>
      </w:pPr>
      <w:r>
        <w:rPr>
          <w:rFonts w:hint="eastAsia" w:ascii="仿宋" w:eastAsia="仿宋" w:cs="仿宋"/>
          <w:color w:val="auto"/>
          <w:szCs w:val="24"/>
        </w:rPr>
        <w:t xml:space="preserve">甲    方：   （盖章）   </w:t>
      </w:r>
      <w:r>
        <w:rPr>
          <w:rFonts w:hint="eastAsia" w:ascii="仿宋" w:eastAsia="仿宋" w:cs="仿宋"/>
          <w:color w:val="auto"/>
          <w:szCs w:val="24"/>
        </w:rPr>
        <w:tab/>
      </w:r>
      <w:r>
        <w:rPr>
          <w:rFonts w:hint="eastAsia" w:ascii="仿宋" w:eastAsia="仿宋" w:cs="仿宋"/>
          <w:color w:val="auto"/>
          <w:szCs w:val="24"/>
        </w:rPr>
        <w:tab/>
      </w:r>
      <w:r>
        <w:rPr>
          <w:rFonts w:hint="eastAsia" w:ascii="仿宋" w:eastAsia="仿宋" w:cs="仿宋"/>
          <w:color w:val="auto"/>
          <w:szCs w:val="24"/>
        </w:rPr>
        <w:tab/>
      </w:r>
      <w:r>
        <w:rPr>
          <w:rFonts w:hint="eastAsia" w:ascii="仿宋" w:eastAsia="仿宋" w:cs="仿宋"/>
          <w:color w:val="auto"/>
          <w:szCs w:val="24"/>
        </w:rPr>
        <w:t xml:space="preserve">  乙方：   （盖章）</w:t>
      </w:r>
    </w:p>
    <w:p>
      <w:pPr>
        <w:pStyle w:val="63"/>
        <w:spacing w:line="550" w:lineRule="exact"/>
        <w:ind w:firstLine="480"/>
        <w:rPr>
          <w:rFonts w:ascii="仿宋" w:eastAsia="仿宋" w:cs="仿宋"/>
          <w:color w:val="auto"/>
          <w:szCs w:val="24"/>
        </w:rPr>
      </w:pPr>
    </w:p>
    <w:p>
      <w:pPr>
        <w:pStyle w:val="63"/>
        <w:spacing w:line="550" w:lineRule="exact"/>
        <w:ind w:firstLine="480"/>
        <w:rPr>
          <w:rFonts w:ascii="仿宋" w:eastAsia="仿宋" w:cs="仿宋"/>
          <w:color w:val="auto"/>
          <w:szCs w:val="24"/>
        </w:rPr>
      </w:pPr>
      <w:r>
        <w:rPr>
          <w:rFonts w:hint="eastAsia" w:ascii="仿宋" w:eastAsia="仿宋" w:cs="仿宋"/>
          <w:color w:val="auto"/>
          <w:szCs w:val="24"/>
        </w:rPr>
        <w:t>法定代表人（授权代表）：            法定代表人（授权代表）：</w:t>
      </w:r>
    </w:p>
    <w:p>
      <w:pPr>
        <w:pStyle w:val="63"/>
        <w:spacing w:line="550" w:lineRule="exact"/>
        <w:ind w:firstLine="480"/>
        <w:rPr>
          <w:rFonts w:ascii="仿宋" w:eastAsia="仿宋" w:cs="仿宋"/>
          <w:color w:val="auto"/>
          <w:szCs w:val="24"/>
        </w:rPr>
      </w:pPr>
    </w:p>
    <w:p>
      <w:pPr>
        <w:pStyle w:val="63"/>
        <w:spacing w:line="550" w:lineRule="exact"/>
        <w:ind w:firstLine="480"/>
        <w:rPr>
          <w:rFonts w:ascii="仿宋" w:eastAsia="仿宋" w:cs="仿宋"/>
          <w:color w:val="auto"/>
          <w:szCs w:val="24"/>
        </w:rPr>
      </w:pPr>
      <w:r>
        <w:rPr>
          <w:rFonts w:hint="eastAsia" w:ascii="仿宋" w:eastAsia="仿宋" w:cs="仿宋"/>
          <w:color w:val="auto"/>
          <w:szCs w:val="24"/>
        </w:rPr>
        <w:t xml:space="preserve">签约日期：XX年XX月XX日 </w:t>
      </w:r>
      <w:r>
        <w:rPr>
          <w:rFonts w:hint="eastAsia" w:ascii="仿宋" w:eastAsia="仿宋" w:cs="仿宋"/>
          <w:color w:val="auto"/>
          <w:szCs w:val="24"/>
        </w:rPr>
        <w:tab/>
      </w:r>
      <w:r>
        <w:rPr>
          <w:rFonts w:hint="eastAsia" w:ascii="仿宋" w:eastAsia="仿宋" w:cs="仿宋"/>
          <w:color w:val="auto"/>
          <w:szCs w:val="24"/>
        </w:rPr>
        <w:tab/>
      </w:r>
      <w:r>
        <w:rPr>
          <w:rFonts w:hint="eastAsia" w:ascii="仿宋" w:eastAsia="仿宋" w:cs="仿宋"/>
          <w:color w:val="auto"/>
          <w:szCs w:val="24"/>
        </w:rPr>
        <w:tab/>
      </w:r>
      <w:r>
        <w:rPr>
          <w:rFonts w:hint="eastAsia" w:ascii="仿宋" w:eastAsia="仿宋" w:cs="仿宋"/>
          <w:color w:val="auto"/>
          <w:szCs w:val="24"/>
        </w:rPr>
        <w:t xml:space="preserve"> 签约日期：XX年XX月XX日</w:t>
      </w:r>
    </w:p>
    <w:p>
      <w:pPr>
        <w:pStyle w:val="63"/>
        <w:spacing w:line="550" w:lineRule="exact"/>
        <w:ind w:firstLine="480"/>
        <w:rPr>
          <w:rFonts w:ascii="仿宋" w:eastAsia="仿宋" w:cs="仿宋"/>
          <w:color w:val="auto"/>
          <w:szCs w:val="24"/>
        </w:rPr>
      </w:pPr>
    </w:p>
    <w:p>
      <w:pPr>
        <w:spacing w:line="550" w:lineRule="exact"/>
        <w:ind w:firstLine="480" w:firstLineChars="200"/>
        <w:rPr>
          <w:rFonts w:ascii="仿宋" w:eastAsia="仿宋" w:cs="仿宋"/>
          <w:color w:val="auto"/>
          <w:sz w:val="24"/>
          <w:szCs w:val="24"/>
        </w:rPr>
      </w:pPr>
      <w:r>
        <w:rPr>
          <w:rFonts w:hint="eastAsia" w:ascii="仿宋" w:eastAsia="仿宋" w:cs="仿宋"/>
          <w:color w:val="auto"/>
          <w:sz w:val="24"/>
          <w:szCs w:val="24"/>
        </w:rPr>
        <w:br w:type="page"/>
      </w:r>
    </w:p>
    <w:p>
      <w:pPr>
        <w:numPr>
          <w:ilvl w:val="0"/>
          <w:numId w:val="3"/>
        </w:numPr>
        <w:spacing w:line="560" w:lineRule="exact"/>
        <w:ind w:firstLine="0"/>
        <w:jc w:val="center"/>
        <w:outlineLvl w:val="0"/>
        <w:rPr>
          <w:rFonts w:ascii="方正小标宋简体" w:hAnsi="方正小标宋简体" w:eastAsia="方正小标宋简体" w:cs="方正小标宋简体"/>
          <w:color w:val="auto"/>
          <w:kern w:val="2"/>
          <w:sz w:val="32"/>
          <w:szCs w:val="32"/>
        </w:rPr>
      </w:pPr>
      <w:bookmarkStart w:id="354" w:name="_Toc217446081"/>
      <w:bookmarkStart w:id="355" w:name="_Toc11181"/>
      <w:bookmarkStart w:id="356" w:name="_Toc18837"/>
      <w:r>
        <w:rPr>
          <w:rFonts w:hint="eastAsia" w:ascii="方正小标宋简体" w:hAnsi="方正小标宋简体" w:eastAsia="方正小标宋简体" w:cs="方正小标宋简体"/>
          <w:color w:val="auto"/>
          <w:kern w:val="2"/>
          <w:sz w:val="32"/>
          <w:szCs w:val="32"/>
        </w:rPr>
        <w:t>比选申请文件格式</w:t>
      </w:r>
      <w:bookmarkEnd w:id="354"/>
      <w:bookmarkEnd w:id="355"/>
      <w:bookmarkEnd w:id="356"/>
    </w:p>
    <w:p>
      <w:pPr>
        <w:jc w:val="center"/>
        <w:rPr>
          <w:rFonts w:ascii="方正小标宋简体" w:hAnsi="方正小标宋简体" w:eastAsia="方正小标宋简体" w:cs="方正小标宋简体"/>
          <w:color w:val="auto"/>
          <w:sz w:val="44"/>
          <w:szCs w:val="44"/>
        </w:rPr>
      </w:pPr>
      <w:bookmarkStart w:id="357" w:name="_Toc217446082"/>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四川蜀物兴川物流发展有限公司</w:t>
      </w:r>
    </w:p>
    <w:p>
      <w:pPr>
        <w:spacing w:line="600" w:lineRule="exact"/>
        <w:ind w:right="170" w:rightChars="50"/>
        <w:jc w:val="center"/>
        <w:rPr>
          <w:rFonts w:ascii="方正小标宋简体" w:hAnsi="黑体" w:eastAsia="方正小标宋简体"/>
          <w:color w:val="auto"/>
          <w:sz w:val="44"/>
          <w:szCs w:val="44"/>
        </w:rPr>
      </w:pPr>
      <w:r>
        <w:rPr>
          <w:rFonts w:hint="eastAsia" w:ascii="方正小标宋简体" w:hAnsi="方正小标宋简体" w:eastAsia="方正小标宋简体" w:cs="方正小标宋简体"/>
          <w:bCs/>
          <w:color w:val="auto"/>
          <w:sz w:val="44"/>
          <w:szCs w:val="44"/>
        </w:rPr>
        <w:t>某公司港口作业纠纷案件诉讼及过程法律服务</w:t>
      </w:r>
      <w:r>
        <w:rPr>
          <w:rFonts w:hint="eastAsia" w:ascii="方正小标宋_GBK" w:hAnsi="方正小标宋_GBK" w:eastAsia="方正小标宋_GBK" w:cs="方正小标宋_GBK"/>
          <w:bCs/>
          <w:color w:val="auto"/>
          <w:sz w:val="44"/>
          <w:szCs w:val="44"/>
        </w:rPr>
        <w:t>采购项目</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spacing w:line="276" w:lineRule="auto"/>
        <w:ind w:right="170" w:rightChars="50"/>
        <w:jc w:val="center"/>
        <w:rPr>
          <w:rFonts w:hint="eastAsia" w:ascii="方正小标宋简体" w:hAnsi="微软雅黑" w:eastAsia="方正小标宋简体"/>
          <w:bCs/>
          <w:color w:val="auto"/>
          <w:spacing w:val="-4"/>
          <w:sz w:val="72"/>
          <w:szCs w:val="72"/>
          <w:lang w:val="en-US" w:eastAsia="zh-CN"/>
        </w:rPr>
      </w:pPr>
      <w:r>
        <w:rPr>
          <w:rFonts w:hint="eastAsia" w:ascii="方正小标宋简体" w:hAnsi="微软雅黑" w:eastAsia="方正小标宋简体"/>
          <w:bCs/>
          <w:color w:val="auto"/>
          <w:spacing w:val="-4"/>
          <w:sz w:val="72"/>
          <w:szCs w:val="72"/>
          <w:lang w:val="en-US" w:eastAsia="zh-CN"/>
        </w:rPr>
        <w:t>申</w:t>
      </w:r>
    </w:p>
    <w:p>
      <w:pPr>
        <w:spacing w:line="276" w:lineRule="auto"/>
        <w:ind w:right="170" w:rightChars="50"/>
        <w:jc w:val="center"/>
        <w:rPr>
          <w:rFonts w:hint="eastAsia" w:ascii="方正小标宋简体" w:hAnsi="微软雅黑" w:eastAsia="方正小标宋简体"/>
          <w:bCs/>
          <w:color w:val="auto"/>
          <w:spacing w:val="-4"/>
          <w:sz w:val="72"/>
          <w:szCs w:val="72"/>
          <w:lang w:eastAsia="zh-CN"/>
        </w:rPr>
      </w:pPr>
      <w:r>
        <w:rPr>
          <w:rFonts w:hint="eastAsia" w:ascii="方正小标宋简体" w:hAnsi="微软雅黑" w:eastAsia="方正小标宋简体"/>
          <w:bCs/>
          <w:color w:val="auto"/>
          <w:spacing w:val="-4"/>
          <w:sz w:val="72"/>
          <w:szCs w:val="72"/>
          <w:lang w:val="en-US" w:eastAsia="zh-CN"/>
        </w:rPr>
        <w:t>请</w:t>
      </w:r>
    </w:p>
    <w:p>
      <w:pPr>
        <w:spacing w:line="276" w:lineRule="auto"/>
        <w:ind w:right="170" w:rightChars="50"/>
        <w:jc w:val="center"/>
        <w:rPr>
          <w:rFonts w:ascii="方正小标宋简体" w:hAnsi="微软雅黑" w:eastAsia="方正小标宋简体"/>
          <w:bCs/>
          <w:color w:val="auto"/>
          <w:spacing w:val="-4"/>
          <w:sz w:val="72"/>
          <w:szCs w:val="72"/>
        </w:rPr>
      </w:pPr>
      <w:r>
        <w:rPr>
          <w:rFonts w:hint="eastAsia" w:ascii="方正小标宋简体" w:hAnsi="微软雅黑" w:eastAsia="方正小标宋简体"/>
          <w:bCs/>
          <w:color w:val="auto"/>
          <w:spacing w:val="-4"/>
          <w:sz w:val="72"/>
          <w:szCs w:val="72"/>
        </w:rPr>
        <w:t>文</w:t>
      </w:r>
    </w:p>
    <w:p>
      <w:pPr>
        <w:spacing w:line="276" w:lineRule="auto"/>
        <w:ind w:right="170" w:rightChars="50"/>
        <w:jc w:val="center"/>
        <w:rPr>
          <w:rFonts w:ascii="方正小标宋简体" w:hAnsi="微软雅黑" w:eastAsia="方正小标宋简体"/>
          <w:bCs/>
          <w:color w:val="auto"/>
          <w:spacing w:val="-4"/>
          <w:sz w:val="72"/>
          <w:szCs w:val="72"/>
        </w:rPr>
      </w:pPr>
      <w:r>
        <w:rPr>
          <w:rFonts w:hint="eastAsia" w:ascii="方正小标宋简体" w:hAnsi="微软雅黑" w:eastAsia="方正小标宋简体"/>
          <w:bCs/>
          <w:color w:val="auto"/>
          <w:spacing w:val="-4"/>
          <w:sz w:val="72"/>
          <w:szCs w:val="72"/>
        </w:rPr>
        <w:t>件</w:t>
      </w:r>
    </w:p>
    <w:p>
      <w:pPr>
        <w:adjustRightInd w:val="0"/>
        <w:snapToGrid w:val="0"/>
        <w:spacing w:line="276" w:lineRule="auto"/>
        <w:ind w:right="170" w:rightChars="50"/>
        <w:jc w:val="center"/>
        <w:rPr>
          <w:rFonts w:ascii="仿宋_GB2312" w:hAnsi="宋体" w:eastAsia="仿宋_GB2312"/>
          <w:b/>
          <w:color w:val="auto"/>
          <w:sz w:val="24"/>
        </w:rPr>
      </w:pPr>
    </w:p>
    <w:p>
      <w:pPr>
        <w:adjustRightInd w:val="0"/>
        <w:snapToGrid w:val="0"/>
        <w:spacing w:line="276" w:lineRule="auto"/>
        <w:ind w:right="170" w:rightChars="50"/>
        <w:jc w:val="center"/>
        <w:rPr>
          <w:rFonts w:ascii="仿宋_GB2312" w:hAnsi="宋体" w:eastAsia="仿宋_GB2312"/>
          <w:b/>
          <w:color w:val="auto"/>
          <w:sz w:val="28"/>
          <w:szCs w:val="28"/>
        </w:rPr>
      </w:pPr>
    </w:p>
    <w:p>
      <w:pPr>
        <w:adjustRightInd w:val="0"/>
        <w:snapToGrid w:val="0"/>
        <w:spacing w:line="276" w:lineRule="auto"/>
        <w:ind w:right="170" w:rightChars="50"/>
        <w:jc w:val="center"/>
        <w:rPr>
          <w:rFonts w:ascii="仿宋_GB2312" w:hAnsi="宋体" w:eastAsia="仿宋_GB2312"/>
          <w:b/>
          <w:color w:val="auto"/>
          <w:sz w:val="28"/>
          <w:szCs w:val="28"/>
        </w:rPr>
      </w:pPr>
    </w:p>
    <w:p>
      <w:pPr>
        <w:adjustRightInd w:val="0"/>
        <w:snapToGrid w:val="0"/>
        <w:spacing w:line="600" w:lineRule="exact"/>
        <w:ind w:firstLine="640" w:firstLineChars="200"/>
        <w:jc w:val="left"/>
        <w:rPr>
          <w:rFonts w:ascii="方正小标宋简体" w:hAnsi="宋体" w:eastAsia="方正小标宋简体"/>
          <w:color w:val="auto"/>
          <w:sz w:val="32"/>
          <w:szCs w:val="32"/>
        </w:rPr>
      </w:pPr>
    </w:p>
    <w:p>
      <w:pPr>
        <w:spacing w:line="560" w:lineRule="exact"/>
        <w:ind w:firstLine="1240" w:firstLineChars="400"/>
        <w:rPr>
          <w:rFonts w:ascii="仿宋_GB2312" w:hAnsi="仿宋_GB2312" w:eastAsia="仿宋_GB2312" w:cs="仿宋_GB2312"/>
          <w:color w:val="auto"/>
          <w:sz w:val="31"/>
          <w:szCs w:val="31"/>
        </w:rPr>
      </w:pPr>
      <w:r>
        <w:rPr>
          <w:rFonts w:hint="eastAsia" w:ascii="仿宋_GB2312" w:hAnsi="仿宋_GB2312" w:eastAsia="仿宋_GB2312" w:cs="仿宋_GB2312"/>
          <w:color w:val="auto"/>
          <w:sz w:val="31"/>
          <w:szCs w:val="31"/>
          <w14:textOutline w14:w="5791" w14:cap="flat" w14:cmpd="sng" w14:algn="ctr">
            <w14:solidFill>
              <w14:srgbClr w14:val="000000"/>
            </w14:solidFill>
            <w14:prstDash w14:val="solid"/>
            <w14:miter w14:val="0"/>
          </w14:textOutline>
        </w:rPr>
        <w:t>比选申请人名称：</w:t>
      </w:r>
      <w:r>
        <w:rPr>
          <w:rFonts w:hint="eastAsia" w:ascii="仿宋_GB2312" w:hAnsi="仿宋_GB2312" w:eastAsia="仿宋_GB2312" w:cs="仿宋_GB2312"/>
          <w:color w:val="auto"/>
          <w:sz w:val="31"/>
          <w:szCs w:val="31"/>
          <w:u w:val="single"/>
          <w14:textOutline w14:w="5791"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z w:val="31"/>
          <w:szCs w:val="31"/>
          <w14:textOutline w14:w="5791" w14:cap="flat" w14:cmpd="sng" w14:algn="ctr">
            <w14:solidFill>
              <w14:srgbClr w14:val="000000"/>
            </w14:solidFill>
            <w14:prstDash w14:val="solid"/>
            <w14:miter w14:val="0"/>
          </w14:textOutline>
        </w:rPr>
        <w:t>（盖章）</w:t>
      </w:r>
    </w:p>
    <w:p>
      <w:pPr>
        <w:spacing w:line="560" w:lineRule="exact"/>
        <w:rPr>
          <w:rFonts w:ascii="仿宋_GB2312" w:hAnsi="仿宋_GB2312" w:eastAsia="仿宋_GB2312" w:cs="仿宋_GB2312"/>
          <w:color w:val="auto"/>
        </w:rPr>
      </w:pPr>
    </w:p>
    <w:p>
      <w:pPr>
        <w:spacing w:line="560" w:lineRule="exact"/>
        <w:ind w:firstLine="2170" w:firstLineChars="700"/>
        <w:rPr>
          <w:rFonts w:ascii="仿宋_GB2312" w:hAnsi="仿宋_GB2312" w:eastAsia="仿宋_GB2312" w:cs="仿宋_GB2312"/>
          <w:color w:val="auto"/>
          <w:sz w:val="31"/>
          <w:szCs w:val="31"/>
          <w14:textOutline w14:w="5791" w14:cap="flat" w14:cmpd="sng" w14:algn="ctr">
            <w14:solidFill>
              <w14:srgbClr w14:val="000000"/>
            </w14:solidFill>
            <w14:prstDash w14:val="solid"/>
            <w14:miter w14:val="0"/>
          </w14:textOutline>
        </w:rPr>
      </w:pPr>
      <w:r>
        <w:rPr>
          <w:rFonts w:hint="eastAsia" w:ascii="仿宋_GB2312" w:hAnsi="仿宋_GB2312" w:eastAsia="仿宋_GB2312" w:cs="仿宋_GB2312"/>
          <w:color w:val="auto"/>
          <w:sz w:val="31"/>
          <w:szCs w:val="31"/>
          <w14:textOutline w14:w="5791" w14:cap="flat" w14:cmpd="sng" w14:algn="ctr">
            <w14:solidFill>
              <w14:srgbClr w14:val="000000"/>
            </w14:solidFill>
            <w14:prstDash w14:val="solid"/>
            <w14:miter w14:val="0"/>
          </w14:textOutline>
        </w:rPr>
        <w:t>日期：</w:t>
      </w:r>
      <w:r>
        <w:rPr>
          <w:rFonts w:hint="eastAsia" w:ascii="仿宋_GB2312" w:hAnsi="仿宋_GB2312" w:eastAsia="仿宋_GB2312" w:cs="仿宋_GB2312"/>
          <w:color w:val="auto"/>
          <w:sz w:val="31"/>
          <w:szCs w:val="31"/>
          <w:u w:val="single"/>
          <w14:textOutline w14:w="5791"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z w:val="31"/>
          <w:szCs w:val="31"/>
          <w14:textOutline w14:w="5791" w14:cap="flat" w14:cmpd="sng" w14:algn="ctr">
            <w14:solidFill>
              <w14:srgbClr w14:val="000000"/>
            </w14:solidFill>
            <w14:prstDash w14:val="solid"/>
            <w14:miter w14:val="0"/>
          </w14:textOutline>
        </w:rPr>
        <w:t>年</w:t>
      </w:r>
      <w:r>
        <w:rPr>
          <w:rFonts w:hint="eastAsia" w:ascii="仿宋_GB2312" w:hAnsi="仿宋_GB2312" w:eastAsia="仿宋_GB2312" w:cs="仿宋_GB2312"/>
          <w:color w:val="auto"/>
          <w:sz w:val="31"/>
          <w:szCs w:val="31"/>
          <w:u w:val="single"/>
          <w14:textOutline w14:w="5791"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z w:val="31"/>
          <w:szCs w:val="31"/>
          <w14:textOutline w14:w="5791" w14:cap="flat" w14:cmpd="sng" w14:algn="ctr">
            <w14:solidFill>
              <w14:srgbClr w14:val="000000"/>
            </w14:solidFill>
            <w14:prstDash w14:val="solid"/>
            <w14:miter w14:val="0"/>
          </w14:textOutline>
        </w:rPr>
        <w:t>月</w:t>
      </w:r>
      <w:r>
        <w:rPr>
          <w:rFonts w:hint="eastAsia" w:ascii="仿宋_GB2312" w:hAnsi="仿宋_GB2312" w:eastAsia="仿宋_GB2312" w:cs="仿宋_GB2312"/>
          <w:color w:val="auto"/>
          <w:sz w:val="31"/>
          <w:szCs w:val="31"/>
          <w:u w:val="single"/>
          <w14:textOutline w14:w="5791" w14:cap="flat" w14:cmpd="sng" w14:algn="ctr">
            <w14:solidFill>
              <w14:srgbClr w14:val="000000"/>
            </w14:solidFill>
            <w14:prstDash w14:val="solid"/>
            <w14:miter w14:val="0"/>
          </w14:textOutline>
        </w:rPr>
        <w:t xml:space="preserve">   </w:t>
      </w:r>
      <w:r>
        <w:rPr>
          <w:rFonts w:hint="eastAsia" w:ascii="仿宋_GB2312" w:hAnsi="仿宋_GB2312" w:eastAsia="仿宋_GB2312" w:cs="仿宋_GB2312"/>
          <w:color w:val="auto"/>
          <w:sz w:val="31"/>
          <w:szCs w:val="31"/>
          <w14:textOutline w14:w="5791" w14:cap="flat" w14:cmpd="sng" w14:algn="ctr">
            <w14:solidFill>
              <w14:srgbClr w14:val="000000"/>
            </w14:solidFill>
            <w14:prstDash w14:val="solid"/>
            <w14:miter w14:val="0"/>
          </w14:textOutline>
        </w:rPr>
        <w:t>日</w:t>
      </w:r>
    </w:p>
    <w:p>
      <w:pPr>
        <w:spacing w:line="560" w:lineRule="exact"/>
        <w:ind w:firstLine="2380" w:firstLineChars="700"/>
        <w:rPr>
          <w:rFonts w:ascii="仿宋" w:eastAsia="仿宋"/>
          <w:color w:val="auto"/>
          <w:szCs w:val="28"/>
        </w:rPr>
      </w:pPr>
      <w:r>
        <w:rPr>
          <w:rFonts w:hint="eastAsia" w:ascii="仿宋" w:eastAsia="仿宋"/>
          <w:color w:val="auto"/>
          <w:szCs w:val="28"/>
        </w:rPr>
        <w:br w:type="page"/>
      </w:r>
    </w:p>
    <w:p>
      <w:pPr>
        <w:spacing w:line="319" w:lineRule="auto"/>
        <w:jc w:val="center"/>
        <w:rPr>
          <w:color w:val="auto"/>
        </w:rPr>
      </w:pPr>
    </w:p>
    <w:p>
      <w:pPr>
        <w:spacing w:before="101" w:line="227" w:lineRule="auto"/>
        <w:jc w:val="center"/>
        <w:rPr>
          <w:rFonts w:hAnsi="宋体" w:cs="宋体"/>
          <w:color w:val="auto"/>
          <w:sz w:val="31"/>
          <w:szCs w:val="31"/>
        </w:rPr>
      </w:pPr>
      <w:r>
        <w:rPr>
          <w:rFonts w:hAnsi="宋体" w:cs="宋体"/>
          <w:color w:val="auto"/>
          <w:sz w:val="31"/>
          <w:szCs w:val="31"/>
          <w14:textOutline w14:w="5791" w14:cap="flat" w14:cmpd="sng" w14:algn="ctr">
            <w14:solidFill>
              <w14:srgbClr w14:val="000000"/>
            </w14:solidFill>
            <w14:prstDash w14:val="solid"/>
            <w14:miter w14:val="0"/>
          </w14:textOutline>
        </w:rPr>
        <w:t>目录</w:t>
      </w:r>
    </w:p>
    <w:p>
      <w:pPr>
        <w:widowControl/>
        <w:kinsoku w:val="0"/>
        <w:autoSpaceDE w:val="0"/>
        <w:autoSpaceDN w:val="0"/>
        <w:adjustRightInd w:val="0"/>
        <w:snapToGrid w:val="0"/>
        <w:spacing w:before="78" w:line="500" w:lineRule="exact"/>
        <w:ind w:left="505"/>
        <w:textAlignment w:val="baseline"/>
        <w:rPr>
          <w:rFonts w:hAnsi="宋体" w:cs="宋体"/>
          <w:color w:val="auto"/>
          <w:sz w:val="24"/>
          <w:szCs w:val="24"/>
        </w:rPr>
      </w:pPr>
      <w:r>
        <w:rPr>
          <w:rFonts w:hint="eastAsia" w:hAnsi="宋体" w:cs="宋体"/>
          <w:color w:val="auto"/>
          <w:sz w:val="24"/>
          <w:szCs w:val="24"/>
        </w:rPr>
        <w:t>一、比选申请函...........................................（）</w:t>
      </w:r>
    </w:p>
    <w:p>
      <w:pPr>
        <w:widowControl/>
        <w:kinsoku w:val="0"/>
        <w:autoSpaceDE w:val="0"/>
        <w:autoSpaceDN w:val="0"/>
        <w:adjustRightInd w:val="0"/>
        <w:snapToGrid w:val="0"/>
        <w:spacing w:before="78" w:line="500" w:lineRule="exact"/>
        <w:ind w:left="505"/>
        <w:textAlignment w:val="baseline"/>
        <w:rPr>
          <w:rFonts w:hAnsi="宋体" w:cs="宋体"/>
          <w:color w:val="auto"/>
          <w:sz w:val="24"/>
          <w:szCs w:val="24"/>
        </w:rPr>
      </w:pPr>
      <w:r>
        <w:rPr>
          <w:rFonts w:hint="eastAsia" w:hAnsi="宋体" w:cs="宋体"/>
          <w:color w:val="auto"/>
          <w:sz w:val="24"/>
          <w:szCs w:val="24"/>
        </w:rPr>
        <w:t>二、法定代表人证明书或授权委托书.....................（）</w:t>
      </w:r>
    </w:p>
    <w:p>
      <w:pPr>
        <w:widowControl/>
        <w:kinsoku w:val="0"/>
        <w:autoSpaceDE w:val="0"/>
        <w:autoSpaceDN w:val="0"/>
        <w:adjustRightInd w:val="0"/>
        <w:snapToGrid w:val="0"/>
        <w:spacing w:before="78" w:line="500" w:lineRule="exact"/>
        <w:ind w:left="505"/>
        <w:textAlignment w:val="baseline"/>
        <w:rPr>
          <w:rFonts w:hAnsi="宋体" w:cs="宋体"/>
          <w:color w:val="auto"/>
          <w:sz w:val="24"/>
          <w:szCs w:val="24"/>
        </w:rPr>
      </w:pPr>
      <w:r>
        <w:rPr>
          <w:rFonts w:hint="eastAsia" w:hAnsi="宋体" w:cs="宋体"/>
          <w:color w:val="auto"/>
          <w:sz w:val="24"/>
          <w:szCs w:val="24"/>
        </w:rPr>
        <w:t>三、报价函...........................................（）</w:t>
      </w:r>
    </w:p>
    <w:p>
      <w:pPr>
        <w:widowControl/>
        <w:kinsoku w:val="0"/>
        <w:autoSpaceDE w:val="0"/>
        <w:autoSpaceDN w:val="0"/>
        <w:adjustRightInd w:val="0"/>
        <w:snapToGrid w:val="0"/>
        <w:spacing w:before="78" w:line="500" w:lineRule="exact"/>
        <w:ind w:left="505"/>
        <w:textAlignment w:val="baseline"/>
        <w:rPr>
          <w:rFonts w:hAnsi="宋体" w:cs="宋体"/>
          <w:color w:val="auto"/>
          <w:sz w:val="24"/>
          <w:szCs w:val="24"/>
        </w:rPr>
      </w:pPr>
      <w:r>
        <w:rPr>
          <w:rFonts w:hint="eastAsia" w:hAnsi="宋体" w:cs="宋体"/>
          <w:color w:val="auto"/>
          <w:sz w:val="24"/>
          <w:szCs w:val="24"/>
        </w:rPr>
        <w:t>四、承诺函...........................................（）</w:t>
      </w:r>
    </w:p>
    <w:p>
      <w:pPr>
        <w:widowControl/>
        <w:kinsoku w:val="0"/>
        <w:autoSpaceDE w:val="0"/>
        <w:autoSpaceDN w:val="0"/>
        <w:adjustRightInd w:val="0"/>
        <w:snapToGrid w:val="0"/>
        <w:spacing w:before="78" w:line="500" w:lineRule="exact"/>
        <w:ind w:left="505"/>
        <w:textAlignment w:val="baseline"/>
        <w:rPr>
          <w:rFonts w:hAnsi="宋体" w:cs="宋体"/>
          <w:color w:val="auto"/>
          <w:sz w:val="24"/>
          <w:szCs w:val="24"/>
        </w:rPr>
      </w:pPr>
      <w:r>
        <w:rPr>
          <w:rFonts w:hint="eastAsia" w:hAnsi="宋体" w:cs="宋体"/>
          <w:color w:val="auto"/>
          <w:sz w:val="24"/>
          <w:szCs w:val="24"/>
        </w:rPr>
        <w:t>五、比选申请人基本情况表.................................（）</w:t>
      </w:r>
    </w:p>
    <w:p>
      <w:pPr>
        <w:widowControl/>
        <w:kinsoku w:val="0"/>
        <w:autoSpaceDE w:val="0"/>
        <w:autoSpaceDN w:val="0"/>
        <w:adjustRightInd w:val="0"/>
        <w:snapToGrid w:val="0"/>
        <w:spacing w:before="78" w:line="500" w:lineRule="exact"/>
        <w:ind w:left="505"/>
        <w:textAlignment w:val="baseline"/>
        <w:rPr>
          <w:rFonts w:hAnsi="宋体" w:cs="宋体"/>
          <w:color w:val="auto"/>
          <w:sz w:val="24"/>
          <w:szCs w:val="24"/>
        </w:rPr>
      </w:pPr>
      <w:r>
        <w:rPr>
          <w:rFonts w:hint="eastAsia" w:hAnsi="宋体" w:cs="宋体"/>
          <w:color w:val="auto"/>
          <w:sz w:val="24"/>
          <w:szCs w:val="24"/>
        </w:rPr>
        <w:t>六、比选申请人类似项目业绩...............................（）</w:t>
      </w:r>
    </w:p>
    <w:p>
      <w:pPr>
        <w:widowControl/>
        <w:kinsoku w:val="0"/>
        <w:autoSpaceDE w:val="0"/>
        <w:autoSpaceDN w:val="0"/>
        <w:adjustRightInd w:val="0"/>
        <w:snapToGrid w:val="0"/>
        <w:spacing w:before="78" w:line="500" w:lineRule="exact"/>
        <w:ind w:left="505"/>
        <w:textAlignment w:val="baseline"/>
        <w:rPr>
          <w:rFonts w:hAnsi="宋体" w:cs="宋体"/>
          <w:color w:val="auto"/>
          <w:sz w:val="24"/>
          <w:szCs w:val="24"/>
        </w:rPr>
      </w:pPr>
      <w:r>
        <w:rPr>
          <w:rFonts w:hint="eastAsia" w:hAnsi="宋体" w:cs="宋体"/>
          <w:color w:val="auto"/>
          <w:sz w:val="24"/>
          <w:szCs w:val="24"/>
        </w:rPr>
        <w:t>七、服务方案.........................................（）</w:t>
      </w:r>
    </w:p>
    <w:p>
      <w:pPr>
        <w:widowControl/>
        <w:kinsoku w:val="0"/>
        <w:autoSpaceDE w:val="0"/>
        <w:autoSpaceDN w:val="0"/>
        <w:adjustRightInd w:val="0"/>
        <w:snapToGrid w:val="0"/>
        <w:spacing w:before="78" w:line="500" w:lineRule="exact"/>
        <w:ind w:left="505"/>
        <w:textAlignment w:val="baseline"/>
        <w:rPr>
          <w:rFonts w:hAnsi="宋体" w:cs="宋体"/>
          <w:color w:val="auto"/>
          <w:sz w:val="24"/>
          <w:szCs w:val="24"/>
        </w:rPr>
      </w:pPr>
      <w:r>
        <w:rPr>
          <w:rFonts w:hint="eastAsia" w:hAnsi="宋体" w:cs="宋体"/>
          <w:color w:val="auto"/>
          <w:sz w:val="24"/>
          <w:szCs w:val="24"/>
        </w:rPr>
        <w:t>八、项目人员情况表...................................（）</w:t>
      </w:r>
    </w:p>
    <w:p>
      <w:pPr>
        <w:widowControl/>
        <w:kinsoku w:val="0"/>
        <w:autoSpaceDE w:val="0"/>
        <w:autoSpaceDN w:val="0"/>
        <w:adjustRightInd w:val="0"/>
        <w:snapToGrid w:val="0"/>
        <w:spacing w:before="78" w:line="500" w:lineRule="exact"/>
        <w:ind w:left="505"/>
        <w:textAlignment w:val="baseline"/>
        <w:rPr>
          <w:rFonts w:hAnsi="宋体" w:cs="宋体"/>
          <w:color w:val="auto"/>
          <w:sz w:val="24"/>
          <w:szCs w:val="24"/>
        </w:rPr>
      </w:pPr>
      <w:r>
        <w:rPr>
          <w:rFonts w:hint="eastAsia" w:hAnsi="宋体" w:cs="宋体"/>
          <w:color w:val="auto"/>
          <w:sz w:val="24"/>
          <w:szCs w:val="24"/>
        </w:rPr>
        <w:t>九、比选申请人认为需要提供的其他材料.....................（）</w:t>
      </w:r>
    </w:p>
    <w:p>
      <w:pPr>
        <w:spacing w:line="256" w:lineRule="auto"/>
        <w:rPr>
          <w:color w:val="auto"/>
        </w:rPr>
      </w:pPr>
    </w:p>
    <w:p>
      <w:pPr>
        <w:spacing w:line="256" w:lineRule="auto"/>
        <w:rPr>
          <w:color w:val="auto"/>
        </w:rPr>
      </w:pPr>
    </w:p>
    <w:p>
      <w:pPr>
        <w:pStyle w:val="20"/>
        <w:spacing w:after="120" w:line="360" w:lineRule="auto"/>
        <w:ind w:firstLine="480" w:firstLineChars="200"/>
        <w:rPr>
          <w:rFonts w:ascii="仿宋" w:eastAsia="仿宋" w:cs="仿宋"/>
          <w:bCs/>
          <w:color w:val="auto"/>
          <w:sz w:val="24"/>
          <w:szCs w:val="24"/>
        </w:rPr>
      </w:pPr>
      <w:r>
        <w:rPr>
          <w:rFonts w:hint="eastAsia" w:ascii="仿宋" w:eastAsia="仿宋" w:cs="仿宋"/>
          <w:bCs/>
          <w:color w:val="auto"/>
          <w:sz w:val="24"/>
          <w:szCs w:val="24"/>
        </w:rPr>
        <w:t>注：（）内应标注每部分的起始页码。</w:t>
      </w:r>
    </w:p>
    <w:p>
      <w:pPr>
        <w:pStyle w:val="20"/>
        <w:spacing w:after="120" w:line="360" w:lineRule="auto"/>
        <w:ind w:firstLine="480" w:firstLineChars="200"/>
        <w:rPr>
          <w:rFonts w:ascii="仿宋" w:eastAsia="仿宋" w:cs="仿宋"/>
          <w:bCs/>
          <w:color w:val="auto"/>
          <w:sz w:val="24"/>
          <w:szCs w:val="24"/>
        </w:rPr>
      </w:pPr>
      <w:r>
        <w:rPr>
          <w:rFonts w:hint="eastAsia" w:ascii="仿宋" w:eastAsia="仿宋" w:cs="仿宋"/>
          <w:bCs/>
          <w:color w:val="auto"/>
          <w:sz w:val="24"/>
          <w:szCs w:val="24"/>
        </w:rPr>
        <w:br w:type="page"/>
      </w:r>
    </w:p>
    <w:p>
      <w:pPr>
        <w:pStyle w:val="4"/>
        <w:spacing w:line="400" w:lineRule="exact"/>
        <w:jc w:val="center"/>
        <w:rPr>
          <w:rFonts w:ascii="仿宋" w:eastAsia="仿宋"/>
          <w:color w:val="auto"/>
          <w:szCs w:val="28"/>
        </w:rPr>
      </w:pPr>
      <w:r>
        <w:rPr>
          <w:rFonts w:hint="eastAsia" w:ascii="仿宋" w:eastAsia="仿宋"/>
          <w:color w:val="auto"/>
          <w:szCs w:val="28"/>
        </w:rPr>
        <w:t>一、比选申请函</w:t>
      </w:r>
      <w:bookmarkEnd w:id="357"/>
    </w:p>
    <w:p>
      <w:pPr>
        <w:pStyle w:val="20"/>
        <w:spacing w:after="120" w:line="360" w:lineRule="auto"/>
        <w:ind w:firstLine="0"/>
        <w:rPr>
          <w:rFonts w:ascii="仿宋" w:eastAsia="仿宋" w:cs="仿宋"/>
          <w:bCs/>
          <w:color w:val="auto"/>
          <w:sz w:val="28"/>
          <w:szCs w:val="28"/>
          <w:u w:val="single"/>
        </w:rPr>
      </w:pPr>
    </w:p>
    <w:p>
      <w:pPr>
        <w:pStyle w:val="20"/>
        <w:spacing w:after="120" w:line="360" w:lineRule="auto"/>
        <w:ind w:firstLine="0"/>
        <w:rPr>
          <w:rFonts w:ascii="仿宋" w:eastAsia="仿宋" w:cs="仿宋"/>
          <w:bCs/>
          <w:color w:val="auto"/>
          <w:sz w:val="28"/>
          <w:szCs w:val="28"/>
          <w:u w:val="single"/>
        </w:rPr>
      </w:pPr>
      <w:r>
        <w:rPr>
          <w:rFonts w:hint="eastAsia" w:ascii="仿宋" w:eastAsia="仿宋" w:cs="仿宋"/>
          <w:bCs/>
          <w:color w:val="auto"/>
          <w:sz w:val="28"/>
          <w:szCs w:val="28"/>
          <w:u w:val="single"/>
        </w:rPr>
        <w:t>四川蜀物兴川物流发展有限公司</w:t>
      </w:r>
      <w:r>
        <w:rPr>
          <w:rFonts w:hint="eastAsia" w:ascii="仿宋" w:eastAsia="仿宋" w:cs="仿宋"/>
          <w:bCs/>
          <w:color w:val="auto"/>
          <w:sz w:val="28"/>
          <w:szCs w:val="28"/>
        </w:rPr>
        <w:t>：</w:t>
      </w:r>
    </w:p>
    <w:p>
      <w:pPr>
        <w:pStyle w:val="20"/>
        <w:spacing w:after="120" w:line="360" w:lineRule="auto"/>
        <w:ind w:firstLine="560" w:firstLineChars="200"/>
        <w:rPr>
          <w:rFonts w:ascii="仿宋" w:eastAsia="仿宋" w:cs="仿宋"/>
          <w:bCs/>
          <w:color w:val="auto"/>
          <w:sz w:val="28"/>
          <w:szCs w:val="28"/>
        </w:rPr>
      </w:pPr>
      <w:r>
        <w:rPr>
          <w:rFonts w:hint="eastAsia" w:ascii="仿宋" w:eastAsia="仿宋" w:cs="仿宋"/>
          <w:bCs/>
          <w:color w:val="auto"/>
          <w:sz w:val="28"/>
          <w:szCs w:val="28"/>
        </w:rPr>
        <w:t>我方全面研究了 “</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”项目比选文件（项目编号</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），决定参加贵单位组织的本项目比选。</w:t>
      </w:r>
    </w:p>
    <w:p>
      <w:pPr>
        <w:pStyle w:val="20"/>
        <w:spacing w:after="120" w:line="360" w:lineRule="auto"/>
        <w:ind w:firstLine="560" w:firstLineChars="200"/>
        <w:rPr>
          <w:rFonts w:ascii="仿宋" w:eastAsia="仿宋" w:cs="仿宋"/>
          <w:bCs/>
          <w:color w:val="auto"/>
          <w:sz w:val="28"/>
          <w:szCs w:val="28"/>
        </w:rPr>
      </w:pPr>
      <w:r>
        <w:rPr>
          <w:rFonts w:hint="eastAsia" w:ascii="仿宋" w:eastAsia="仿宋" w:cs="仿宋"/>
          <w:bCs/>
          <w:color w:val="auto"/>
          <w:sz w:val="28"/>
          <w:szCs w:val="28"/>
        </w:rPr>
        <w:t>我方授权</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姓名、职务）代表我方</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（比选单位的名称）全权处理本项目比选的有关事宜。</w:t>
      </w:r>
    </w:p>
    <w:p>
      <w:pPr>
        <w:pStyle w:val="20"/>
        <w:spacing w:after="120" w:line="360" w:lineRule="auto"/>
        <w:ind w:firstLine="560" w:firstLineChars="200"/>
        <w:rPr>
          <w:rFonts w:ascii="仿宋" w:eastAsia="仿宋" w:cs="仿宋"/>
          <w:bCs/>
          <w:color w:val="auto"/>
          <w:sz w:val="28"/>
          <w:szCs w:val="28"/>
        </w:rPr>
      </w:pPr>
      <w:r>
        <w:rPr>
          <w:rFonts w:hint="eastAsia" w:ascii="仿宋" w:eastAsia="仿宋" w:cs="仿宋"/>
          <w:bCs/>
          <w:color w:val="auto"/>
          <w:sz w:val="28"/>
          <w:szCs w:val="28"/>
        </w:rPr>
        <w:t>1.我方自愿按照比选文件规定的各项要求向比选人提供所需服务，综合报价详见报价函。</w:t>
      </w:r>
    </w:p>
    <w:p>
      <w:pPr>
        <w:pStyle w:val="20"/>
        <w:spacing w:after="120" w:line="360" w:lineRule="auto"/>
        <w:ind w:firstLine="560" w:firstLineChars="200"/>
        <w:rPr>
          <w:rFonts w:ascii="仿宋" w:eastAsia="仿宋" w:cs="仿宋"/>
          <w:bCs/>
          <w:color w:val="auto"/>
          <w:sz w:val="28"/>
          <w:szCs w:val="28"/>
        </w:rPr>
      </w:pPr>
      <w:r>
        <w:rPr>
          <w:rFonts w:hint="eastAsia" w:ascii="仿宋" w:eastAsia="仿宋" w:cs="仿宋"/>
          <w:bCs/>
          <w:color w:val="auto"/>
          <w:sz w:val="28"/>
          <w:szCs w:val="28"/>
        </w:rPr>
        <w:t>2.我方完全响应第三章实质性要求；</w:t>
      </w:r>
    </w:p>
    <w:p>
      <w:pPr>
        <w:pStyle w:val="20"/>
        <w:spacing w:after="120" w:line="360" w:lineRule="auto"/>
        <w:ind w:firstLine="560" w:firstLineChars="200"/>
        <w:rPr>
          <w:rFonts w:ascii="仿宋" w:eastAsia="仿宋" w:cs="仿宋"/>
          <w:bCs/>
          <w:color w:val="auto"/>
          <w:sz w:val="28"/>
          <w:szCs w:val="28"/>
        </w:rPr>
      </w:pPr>
      <w:r>
        <w:rPr>
          <w:rFonts w:hint="eastAsia" w:ascii="仿宋" w:eastAsia="仿宋" w:cs="仿宋"/>
          <w:bCs/>
          <w:color w:val="auto"/>
          <w:sz w:val="28"/>
          <w:szCs w:val="28"/>
        </w:rPr>
        <w:t>3.一旦我方中标，我方将严格履行合同规定的责任和义务。</w:t>
      </w:r>
    </w:p>
    <w:p>
      <w:pPr>
        <w:pStyle w:val="20"/>
        <w:spacing w:after="120" w:line="360" w:lineRule="auto"/>
        <w:ind w:firstLine="536" w:firstLineChars="200"/>
        <w:rPr>
          <w:rFonts w:ascii="仿宋" w:eastAsia="仿宋" w:cs="仿宋"/>
          <w:bCs/>
          <w:color w:val="auto"/>
          <w:sz w:val="28"/>
          <w:szCs w:val="28"/>
        </w:rPr>
      </w:pPr>
      <w:r>
        <w:rPr>
          <w:rFonts w:hint="eastAsia" w:ascii="仿宋" w:eastAsia="仿宋" w:cs="仿宋"/>
          <w:bCs/>
          <w:color w:val="auto"/>
          <w:spacing w:val="-6"/>
          <w:sz w:val="28"/>
          <w:szCs w:val="28"/>
        </w:rPr>
        <w:t>4.</w:t>
      </w:r>
      <w:r>
        <w:rPr>
          <w:rFonts w:hint="eastAsia" w:ascii="仿宋" w:eastAsia="仿宋" w:cs="仿宋"/>
          <w:bCs/>
          <w:color w:val="auto"/>
          <w:sz w:val="28"/>
          <w:szCs w:val="28"/>
        </w:rPr>
        <w:t>我方承诺比选有效期为开标后</w:t>
      </w:r>
      <w:r>
        <w:rPr>
          <w:rFonts w:hint="eastAsia" w:ascii="仿宋" w:eastAsia="仿宋" w:cs="仿宋"/>
          <w:bCs/>
          <w:color w:val="auto"/>
          <w:sz w:val="28"/>
          <w:szCs w:val="28"/>
          <w:u w:val="single"/>
        </w:rPr>
        <w:t>90</w:t>
      </w:r>
      <w:r>
        <w:rPr>
          <w:rFonts w:hint="eastAsia" w:ascii="仿宋" w:eastAsia="仿宋" w:cs="仿宋"/>
          <w:bCs/>
          <w:color w:val="auto"/>
          <w:sz w:val="28"/>
          <w:szCs w:val="28"/>
        </w:rPr>
        <w:t>天（日历日）。</w:t>
      </w:r>
    </w:p>
    <w:p>
      <w:pPr>
        <w:pStyle w:val="20"/>
        <w:spacing w:after="120" w:line="360" w:lineRule="auto"/>
        <w:ind w:firstLine="560" w:firstLineChars="200"/>
        <w:rPr>
          <w:rFonts w:ascii="仿宋" w:eastAsia="仿宋" w:cs="仿宋"/>
          <w:bCs/>
          <w:color w:val="auto"/>
          <w:sz w:val="28"/>
          <w:szCs w:val="28"/>
        </w:rPr>
      </w:pPr>
      <w:r>
        <w:rPr>
          <w:rFonts w:hint="eastAsia" w:ascii="仿宋" w:eastAsia="仿宋" w:cs="仿宋"/>
          <w:bCs/>
          <w:color w:val="auto"/>
          <w:sz w:val="28"/>
          <w:szCs w:val="28"/>
        </w:rPr>
        <w:t>5.我方愿意提供贵公司可能另外要求的，与比选有关的文件资料，并保证我方已提供和将要提供的文件资料是真实、准确的。</w:t>
      </w:r>
    </w:p>
    <w:p>
      <w:pPr>
        <w:pStyle w:val="20"/>
        <w:spacing w:after="120" w:line="360" w:lineRule="auto"/>
        <w:ind w:firstLine="560" w:firstLineChars="200"/>
        <w:rPr>
          <w:rFonts w:ascii="仿宋" w:eastAsia="仿宋" w:cs="仿宋"/>
          <w:bCs/>
          <w:color w:val="auto"/>
          <w:sz w:val="28"/>
          <w:szCs w:val="28"/>
        </w:rPr>
      </w:pPr>
      <w:r>
        <w:rPr>
          <w:rFonts w:hint="eastAsia" w:ascii="仿宋" w:eastAsia="仿宋" w:cs="仿宋"/>
          <w:bCs/>
          <w:color w:val="auto"/>
          <w:sz w:val="28"/>
          <w:szCs w:val="28"/>
        </w:rPr>
        <w:t>6.我方完全理解比选人不一定将合同授予最低报价的比选申请人的行为。</w:t>
      </w:r>
    </w:p>
    <w:p>
      <w:pPr>
        <w:pStyle w:val="20"/>
        <w:spacing w:after="120" w:line="360" w:lineRule="auto"/>
        <w:ind w:firstLine="560" w:firstLineChars="200"/>
        <w:rPr>
          <w:rFonts w:ascii="仿宋" w:eastAsia="仿宋" w:cs="仿宋"/>
          <w:bCs/>
          <w:color w:val="auto"/>
          <w:sz w:val="28"/>
          <w:szCs w:val="28"/>
        </w:rPr>
      </w:pPr>
    </w:p>
    <w:p>
      <w:pPr>
        <w:pStyle w:val="20"/>
        <w:spacing w:after="120" w:line="360" w:lineRule="auto"/>
        <w:ind w:firstLine="560" w:firstLineChars="200"/>
        <w:rPr>
          <w:rFonts w:ascii="仿宋" w:eastAsia="仿宋" w:cs="仿宋"/>
          <w:bCs/>
          <w:color w:val="auto"/>
          <w:sz w:val="28"/>
          <w:szCs w:val="28"/>
        </w:rPr>
      </w:pPr>
      <w:r>
        <w:rPr>
          <w:rFonts w:hint="eastAsia" w:ascii="仿宋" w:eastAsia="仿宋" w:cs="仿宋"/>
          <w:bCs/>
          <w:color w:val="auto"/>
          <w:sz w:val="28"/>
          <w:szCs w:val="28"/>
        </w:rPr>
        <w:t>比选申请人名称：        （盖章）</w:t>
      </w:r>
    </w:p>
    <w:p>
      <w:pPr>
        <w:pStyle w:val="20"/>
        <w:spacing w:after="120" w:line="360" w:lineRule="auto"/>
        <w:ind w:firstLine="560" w:firstLineChars="200"/>
        <w:rPr>
          <w:rFonts w:ascii="仿宋" w:eastAsia="仿宋" w:cs="仿宋"/>
          <w:bCs/>
          <w:color w:val="auto"/>
          <w:sz w:val="28"/>
          <w:szCs w:val="28"/>
        </w:rPr>
      </w:pPr>
      <w:r>
        <w:rPr>
          <w:rFonts w:hint="eastAsia" w:ascii="仿宋" w:eastAsia="仿宋" w:cs="仿宋"/>
          <w:bCs/>
          <w:color w:val="auto"/>
          <w:sz w:val="28"/>
          <w:szCs w:val="28"/>
        </w:rPr>
        <w:t>法定代表人或授权代表（签字）：</w:t>
      </w:r>
    </w:p>
    <w:p>
      <w:pPr>
        <w:pStyle w:val="20"/>
        <w:spacing w:after="120" w:line="360" w:lineRule="auto"/>
        <w:ind w:firstLine="560" w:firstLineChars="200"/>
        <w:rPr>
          <w:rFonts w:ascii="仿宋" w:eastAsia="仿宋"/>
          <w:color w:val="auto"/>
          <w:sz w:val="28"/>
          <w:szCs w:val="28"/>
        </w:rPr>
      </w:pPr>
      <w:r>
        <w:rPr>
          <w:rFonts w:hint="eastAsia" w:ascii="仿宋" w:eastAsia="仿宋" w:cs="仿宋"/>
          <w:bCs/>
          <w:color w:val="auto"/>
          <w:sz w:val="28"/>
          <w:szCs w:val="28"/>
        </w:rPr>
        <w:t>日期：</w:t>
      </w:r>
      <w:bookmarkStart w:id="358" w:name="_Toc217446083"/>
      <w:r>
        <w:rPr>
          <w:rFonts w:hint="eastAsia" w:ascii="仿宋" w:eastAsia="仿宋"/>
          <w:color w:val="auto"/>
          <w:sz w:val="28"/>
          <w:szCs w:val="28"/>
        </w:rPr>
        <w:br w:type="page"/>
      </w:r>
    </w:p>
    <w:p>
      <w:pPr>
        <w:pStyle w:val="4"/>
        <w:spacing w:before="0" w:after="0" w:line="560" w:lineRule="exact"/>
        <w:jc w:val="center"/>
        <w:rPr>
          <w:rFonts w:ascii="仿宋" w:eastAsia="仿宋"/>
          <w:color w:val="auto"/>
          <w:szCs w:val="28"/>
        </w:rPr>
      </w:pPr>
      <w:r>
        <w:rPr>
          <w:rFonts w:hint="eastAsia" w:ascii="仿宋" w:eastAsia="仿宋"/>
          <w:color w:val="auto"/>
          <w:szCs w:val="28"/>
        </w:rPr>
        <w:t>二、法定代表人证明书或授权委托书</w:t>
      </w:r>
      <w:bookmarkEnd w:id="358"/>
    </w:p>
    <w:p>
      <w:pPr>
        <w:pStyle w:val="20"/>
        <w:spacing w:line="560" w:lineRule="exact"/>
        <w:ind w:firstLine="560" w:firstLineChars="200"/>
        <w:rPr>
          <w:rFonts w:ascii="方正楷体_GB2312" w:hAnsi="方正楷体_GB2312" w:eastAsia="方正楷体_GB2312" w:cs="方正楷体_GB2312"/>
          <w:bCs/>
          <w:color w:val="auto"/>
          <w:sz w:val="28"/>
          <w:szCs w:val="28"/>
        </w:rPr>
      </w:pPr>
    </w:p>
    <w:p>
      <w:pPr>
        <w:pStyle w:val="20"/>
        <w:spacing w:line="560" w:lineRule="exact"/>
        <w:ind w:firstLine="560" w:firstLineChars="200"/>
        <w:rPr>
          <w:rFonts w:ascii="方正楷体_GB2312" w:hAnsi="方正楷体_GB2312" w:eastAsia="方正楷体_GB2312" w:cs="方正楷体_GB2312"/>
          <w:bCs/>
          <w:color w:val="auto"/>
          <w:sz w:val="28"/>
          <w:szCs w:val="28"/>
        </w:rPr>
      </w:pPr>
      <w:r>
        <w:rPr>
          <w:rFonts w:hint="eastAsia" w:ascii="方正楷体_GB2312" w:hAnsi="方正楷体_GB2312" w:eastAsia="方正楷体_GB2312" w:cs="方正楷体_GB2312"/>
          <w:bCs/>
          <w:color w:val="auto"/>
          <w:sz w:val="28"/>
          <w:szCs w:val="28"/>
        </w:rPr>
        <w:t>（一）法定代表人证明书（法定代表人亲自比选时适用）</w:t>
      </w:r>
    </w:p>
    <w:p>
      <w:pPr>
        <w:pStyle w:val="20"/>
        <w:spacing w:line="560" w:lineRule="exact"/>
        <w:ind w:firstLine="560" w:firstLineChars="200"/>
        <w:rPr>
          <w:rFonts w:ascii="仿宋" w:eastAsia="仿宋" w:cs="仿宋"/>
          <w:bCs/>
          <w:color w:val="auto"/>
          <w:sz w:val="28"/>
          <w:szCs w:val="28"/>
          <w:u w:val="single"/>
        </w:rPr>
      </w:pPr>
      <w:r>
        <w:rPr>
          <w:rFonts w:hint="eastAsia" w:ascii="仿宋" w:eastAsia="仿宋" w:cs="仿宋"/>
          <w:bCs/>
          <w:color w:val="auto"/>
          <w:sz w:val="28"/>
          <w:szCs w:val="28"/>
        </w:rPr>
        <w:t>比选申请人名称：</w:t>
      </w:r>
      <w:r>
        <w:rPr>
          <w:rFonts w:hint="eastAsia" w:ascii="仿宋" w:eastAsia="仿宋" w:cs="仿宋"/>
          <w:bCs/>
          <w:color w:val="auto"/>
          <w:sz w:val="28"/>
          <w:szCs w:val="28"/>
          <w:u w:val="single"/>
        </w:rPr>
        <w:t xml:space="preserve">                                               </w:t>
      </w:r>
    </w:p>
    <w:p>
      <w:pPr>
        <w:pStyle w:val="20"/>
        <w:spacing w:line="560" w:lineRule="exact"/>
        <w:ind w:firstLine="560" w:firstLineChars="200"/>
        <w:rPr>
          <w:rFonts w:ascii="仿宋" w:eastAsia="仿宋" w:cs="仿宋"/>
          <w:bCs/>
          <w:color w:val="auto"/>
          <w:sz w:val="28"/>
          <w:szCs w:val="28"/>
          <w:u w:val="single"/>
        </w:rPr>
      </w:pPr>
      <w:r>
        <w:rPr>
          <w:rFonts w:hint="eastAsia" w:ascii="仿宋" w:eastAsia="仿宋" w:cs="仿宋"/>
          <w:bCs/>
          <w:color w:val="auto"/>
          <w:sz w:val="28"/>
          <w:szCs w:val="28"/>
        </w:rPr>
        <w:t>单位性质：</w:t>
      </w:r>
      <w:r>
        <w:rPr>
          <w:rFonts w:hint="eastAsia" w:ascii="仿宋" w:eastAsia="仿宋" w:cs="仿宋"/>
          <w:bCs/>
          <w:color w:val="auto"/>
          <w:sz w:val="28"/>
          <w:szCs w:val="28"/>
          <w:u w:val="single"/>
        </w:rPr>
        <w:t xml:space="preserve">                                                 </w:t>
      </w:r>
    </w:p>
    <w:p>
      <w:pPr>
        <w:pStyle w:val="20"/>
        <w:spacing w:line="560" w:lineRule="exact"/>
        <w:ind w:firstLine="560" w:firstLineChars="200"/>
        <w:rPr>
          <w:rFonts w:ascii="仿宋" w:eastAsia="仿宋" w:cs="仿宋"/>
          <w:bCs/>
          <w:color w:val="auto"/>
          <w:sz w:val="28"/>
          <w:szCs w:val="28"/>
          <w:u w:val="single"/>
        </w:rPr>
      </w:pPr>
      <w:r>
        <w:rPr>
          <w:rFonts w:hint="eastAsia" w:ascii="仿宋" w:eastAsia="仿宋" w:cs="仿宋"/>
          <w:bCs/>
          <w:color w:val="auto"/>
          <w:sz w:val="28"/>
          <w:szCs w:val="28"/>
        </w:rPr>
        <w:t>成立时间：</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年</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月</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日</w:t>
      </w:r>
    </w:p>
    <w:p>
      <w:pPr>
        <w:pStyle w:val="20"/>
        <w:spacing w:line="560" w:lineRule="exact"/>
        <w:ind w:firstLine="560" w:firstLineChars="200"/>
        <w:rPr>
          <w:rFonts w:ascii="仿宋" w:eastAsia="仿宋" w:cs="仿宋"/>
          <w:bCs/>
          <w:color w:val="auto"/>
          <w:sz w:val="28"/>
          <w:szCs w:val="28"/>
        </w:rPr>
      </w:pPr>
      <w:r>
        <w:rPr>
          <w:rFonts w:hint="eastAsia" w:ascii="仿宋" w:eastAsia="仿宋" w:cs="仿宋"/>
          <w:bCs/>
          <w:color w:val="auto"/>
          <w:sz w:val="28"/>
          <w:szCs w:val="28"/>
        </w:rPr>
        <w:t xml:space="preserve">经营期限：                                                 </w:t>
      </w:r>
    </w:p>
    <w:p>
      <w:pPr>
        <w:pStyle w:val="20"/>
        <w:spacing w:line="560" w:lineRule="exact"/>
        <w:ind w:firstLine="560" w:firstLineChars="200"/>
        <w:rPr>
          <w:rFonts w:ascii="仿宋" w:eastAsia="仿宋" w:cs="仿宋"/>
          <w:bCs/>
          <w:color w:val="auto"/>
          <w:sz w:val="28"/>
          <w:szCs w:val="28"/>
          <w:u w:val="single"/>
        </w:rPr>
      </w:pPr>
      <w:r>
        <w:rPr>
          <w:rFonts w:hint="eastAsia" w:ascii="仿宋" w:eastAsia="仿宋" w:cs="仿宋"/>
          <w:bCs/>
          <w:color w:val="auto"/>
          <w:sz w:val="28"/>
          <w:szCs w:val="28"/>
        </w:rPr>
        <w:t>姓名：</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性别：</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职务：</w:t>
      </w:r>
      <w:r>
        <w:rPr>
          <w:rFonts w:hint="eastAsia" w:ascii="仿宋" w:eastAsia="仿宋" w:cs="仿宋"/>
          <w:bCs/>
          <w:color w:val="auto"/>
          <w:sz w:val="28"/>
          <w:szCs w:val="28"/>
          <w:u w:val="single"/>
        </w:rPr>
        <w:t xml:space="preserve">          </w:t>
      </w:r>
    </w:p>
    <w:p>
      <w:pPr>
        <w:pStyle w:val="20"/>
        <w:spacing w:line="560" w:lineRule="exact"/>
        <w:ind w:firstLine="560" w:firstLineChars="200"/>
        <w:rPr>
          <w:rFonts w:ascii="仿宋" w:eastAsia="仿宋" w:cs="仿宋"/>
          <w:bCs/>
          <w:color w:val="auto"/>
          <w:sz w:val="28"/>
          <w:szCs w:val="28"/>
        </w:rPr>
      </w:pPr>
      <w:r>
        <w:rPr>
          <w:rFonts w:hint="eastAsia" w:ascii="仿宋" w:eastAsia="仿宋" w:cs="仿宋"/>
          <w:bCs/>
          <w:color w:val="auto"/>
          <w:sz w:val="28"/>
          <w:szCs w:val="28"/>
        </w:rPr>
        <w:t>系</w:t>
      </w:r>
      <w:r>
        <w:rPr>
          <w:rFonts w:hint="eastAsia" w:ascii="仿宋" w:eastAsia="仿宋" w:cs="仿宋"/>
          <w:bCs/>
          <w:color w:val="auto"/>
          <w:sz w:val="28"/>
          <w:szCs w:val="28"/>
          <w:u w:val="single"/>
        </w:rPr>
        <w:t xml:space="preserve">                   </w:t>
      </w:r>
      <w:r>
        <w:rPr>
          <w:rFonts w:hint="eastAsia" w:ascii="仿宋" w:eastAsia="仿宋" w:cs="仿宋"/>
          <w:bCs/>
          <w:color w:val="auto"/>
          <w:sz w:val="28"/>
          <w:szCs w:val="28"/>
        </w:rPr>
        <w:t>(比选申请人名称)的法定代表人。</w:t>
      </w:r>
    </w:p>
    <w:p>
      <w:pPr>
        <w:pStyle w:val="20"/>
        <w:spacing w:line="560" w:lineRule="exact"/>
        <w:ind w:firstLine="560" w:firstLineChars="200"/>
        <w:rPr>
          <w:rFonts w:ascii="仿宋" w:eastAsia="仿宋" w:cs="仿宋"/>
          <w:bCs/>
          <w:color w:val="auto"/>
          <w:sz w:val="28"/>
          <w:szCs w:val="28"/>
        </w:rPr>
      </w:pPr>
      <w:r>
        <w:rPr>
          <w:rFonts w:hint="eastAsia" w:ascii="仿宋" w:eastAsia="仿宋" w:cs="仿宋"/>
          <w:bCs/>
          <w:color w:val="auto"/>
          <w:sz w:val="28"/>
          <w:szCs w:val="28"/>
        </w:rPr>
        <w:t>特此证明。</w:t>
      </w:r>
    </w:p>
    <w:p>
      <w:pPr>
        <w:pStyle w:val="20"/>
        <w:spacing w:line="560" w:lineRule="exact"/>
        <w:ind w:firstLine="560" w:firstLineChars="200"/>
        <w:rPr>
          <w:rFonts w:ascii="仿宋" w:eastAsia="仿宋" w:cs="仿宋"/>
          <w:bCs/>
          <w:color w:val="auto"/>
          <w:sz w:val="28"/>
          <w:szCs w:val="28"/>
        </w:rPr>
      </w:pPr>
    </w:p>
    <w:p>
      <w:pPr>
        <w:pStyle w:val="20"/>
        <w:spacing w:line="560" w:lineRule="exact"/>
        <w:ind w:firstLine="560" w:firstLineChars="200"/>
        <w:rPr>
          <w:rFonts w:ascii="仿宋" w:eastAsia="仿宋" w:cs="仿宋"/>
          <w:bCs/>
          <w:color w:val="auto"/>
          <w:sz w:val="28"/>
          <w:szCs w:val="28"/>
        </w:rPr>
      </w:pPr>
      <w:r>
        <w:rPr>
          <w:rFonts w:hint="eastAsia" w:ascii="仿宋" w:eastAsia="仿宋" w:cs="仿宋"/>
          <w:bCs/>
          <w:color w:val="auto"/>
          <w:sz w:val="28"/>
          <w:szCs w:val="28"/>
        </w:rPr>
        <w:t>附：法定代表人身份证复印件。</w:t>
      </w:r>
    </w:p>
    <w:p>
      <w:pPr>
        <w:pStyle w:val="20"/>
        <w:spacing w:line="560" w:lineRule="exact"/>
        <w:ind w:firstLine="560" w:firstLineChars="200"/>
        <w:rPr>
          <w:rFonts w:ascii="仿宋" w:eastAsia="仿宋" w:cs="仿宋"/>
          <w:bCs/>
          <w:color w:val="auto"/>
          <w:sz w:val="28"/>
          <w:szCs w:val="28"/>
        </w:rPr>
      </w:pPr>
    </w:p>
    <w:p>
      <w:pPr>
        <w:pStyle w:val="20"/>
        <w:spacing w:line="560" w:lineRule="exact"/>
        <w:ind w:firstLine="560" w:firstLineChars="200"/>
        <w:rPr>
          <w:rFonts w:ascii="仿宋" w:eastAsia="仿宋" w:cs="仿宋"/>
          <w:bCs/>
          <w:color w:val="auto"/>
          <w:sz w:val="28"/>
          <w:szCs w:val="28"/>
        </w:rPr>
      </w:pPr>
      <w:r>
        <w:rPr>
          <w:rFonts w:hint="eastAsia" w:ascii="仿宋" w:eastAsia="仿宋" w:cs="仿宋"/>
          <w:bCs/>
          <w:color w:val="auto"/>
          <w:sz w:val="28"/>
          <w:szCs w:val="28"/>
        </w:rPr>
        <w:t>比选申请人名称：        （盖章）</w:t>
      </w:r>
    </w:p>
    <w:p>
      <w:pPr>
        <w:pStyle w:val="20"/>
        <w:spacing w:line="560" w:lineRule="exact"/>
        <w:ind w:firstLine="560" w:firstLineChars="200"/>
        <w:rPr>
          <w:rFonts w:ascii="仿宋" w:eastAsia="仿宋" w:cs="仿宋"/>
          <w:bCs/>
          <w:color w:val="auto"/>
          <w:sz w:val="28"/>
          <w:szCs w:val="28"/>
        </w:rPr>
      </w:pPr>
      <w:r>
        <w:rPr>
          <w:rFonts w:hint="eastAsia" w:ascii="仿宋" w:eastAsia="仿宋" w:cs="仿宋"/>
          <w:bCs/>
          <w:color w:val="auto"/>
          <w:sz w:val="28"/>
          <w:szCs w:val="28"/>
        </w:rPr>
        <w:t>日期：</w:t>
      </w:r>
    </w:p>
    <w:p>
      <w:pPr>
        <w:pStyle w:val="20"/>
        <w:spacing w:line="560" w:lineRule="exact"/>
        <w:ind w:firstLine="560" w:firstLineChars="200"/>
        <w:rPr>
          <w:rFonts w:ascii="仿宋" w:eastAsia="仿宋" w:cs="仿宋"/>
          <w:bCs/>
          <w:color w:val="auto"/>
          <w:sz w:val="24"/>
          <w:szCs w:val="24"/>
        </w:rPr>
      </w:pPr>
      <w:r>
        <w:rPr>
          <w:rFonts w:hint="eastAsia" w:ascii="仿宋" w:eastAsia="仿宋" w:cs="仿宋"/>
          <w:bCs/>
          <w:color w:val="auto"/>
          <w:sz w:val="28"/>
          <w:szCs w:val="28"/>
        </w:rPr>
        <w:br w:type="page"/>
      </w:r>
    </w:p>
    <w:p>
      <w:pPr>
        <w:pStyle w:val="20"/>
        <w:spacing w:line="560" w:lineRule="exact"/>
        <w:rPr>
          <w:color w:val="auto"/>
        </w:rPr>
      </w:pPr>
    </w:p>
    <w:p>
      <w:pPr>
        <w:pStyle w:val="20"/>
        <w:spacing w:line="560" w:lineRule="exact"/>
        <w:rPr>
          <w:rFonts w:ascii="方正楷体_GB2312" w:hAnsi="方正楷体_GB2312" w:eastAsia="方正楷体_GB2312" w:cs="方正楷体_GB2312"/>
          <w:bCs/>
          <w:color w:val="auto"/>
          <w:sz w:val="24"/>
          <w:szCs w:val="24"/>
        </w:rPr>
      </w:pPr>
      <w:r>
        <w:rPr>
          <w:rFonts w:hint="eastAsia" w:ascii="方正楷体_GB2312" w:hAnsi="方正楷体_GB2312" w:eastAsia="方正楷体_GB2312" w:cs="方正楷体_GB2312"/>
          <w:bCs/>
          <w:color w:val="auto"/>
          <w:sz w:val="24"/>
          <w:szCs w:val="24"/>
        </w:rPr>
        <w:t>（二）法定代表人授权委托书（法定代表人不亲自比选，委托代理人比选时适用）</w:t>
      </w:r>
    </w:p>
    <w:p>
      <w:pPr>
        <w:spacing w:line="560" w:lineRule="exact"/>
        <w:rPr>
          <w:rFonts w:ascii="仿宋" w:eastAsia="仿宋" w:cs="仿宋"/>
          <w:bCs/>
          <w:color w:val="auto"/>
          <w:sz w:val="28"/>
          <w:szCs w:val="28"/>
          <w:u w:val="single"/>
        </w:rPr>
      </w:pPr>
    </w:p>
    <w:p>
      <w:pPr>
        <w:spacing w:line="560" w:lineRule="exact"/>
        <w:rPr>
          <w:rFonts w:ascii="仿宋" w:eastAsia="仿宋" w:cs="仿宋"/>
          <w:color w:val="auto"/>
          <w:sz w:val="28"/>
          <w:szCs w:val="28"/>
        </w:rPr>
      </w:pPr>
      <w:r>
        <w:rPr>
          <w:rFonts w:hint="eastAsia" w:ascii="仿宋" w:eastAsia="仿宋" w:cs="仿宋"/>
          <w:bCs/>
          <w:color w:val="auto"/>
          <w:sz w:val="28"/>
          <w:szCs w:val="28"/>
          <w:u w:val="single"/>
        </w:rPr>
        <w:t>四川蜀物兴川物流发展有限公司</w:t>
      </w:r>
      <w:r>
        <w:rPr>
          <w:rFonts w:hint="eastAsia" w:ascii="仿宋" w:eastAsia="仿宋" w:cs="仿宋"/>
          <w:bCs/>
          <w:color w:val="auto"/>
          <w:sz w:val="28"/>
          <w:szCs w:val="28"/>
        </w:rPr>
        <w:t>：</w:t>
      </w:r>
    </w:p>
    <w:p>
      <w:pPr>
        <w:spacing w:line="560" w:lineRule="exact"/>
        <w:ind w:firstLine="560" w:firstLineChars="200"/>
        <w:rPr>
          <w:rFonts w:ascii="仿宋" w:eastAsia="仿宋" w:cs="仿宋"/>
          <w:color w:val="auto"/>
          <w:sz w:val="28"/>
          <w:szCs w:val="28"/>
        </w:rPr>
      </w:pPr>
      <w:r>
        <w:rPr>
          <w:rFonts w:hint="eastAsia" w:ascii="仿宋" w:eastAsia="仿宋" w:cs="仿宋"/>
          <w:color w:val="auto"/>
          <w:sz w:val="28"/>
          <w:szCs w:val="28"/>
        </w:rPr>
        <w:t>本授权声明：</w:t>
      </w:r>
      <w:r>
        <w:rPr>
          <w:rFonts w:hint="eastAsia" w:ascii="仿宋" w:eastAsia="仿宋" w:cs="仿宋"/>
          <w:color w:val="auto"/>
          <w:sz w:val="28"/>
          <w:szCs w:val="28"/>
          <w:u w:val="single"/>
        </w:rPr>
        <w:t xml:space="preserve">                     </w:t>
      </w:r>
      <w:r>
        <w:rPr>
          <w:rFonts w:hint="eastAsia" w:ascii="仿宋" w:eastAsia="仿宋" w:cs="仿宋"/>
          <w:color w:val="auto"/>
          <w:sz w:val="28"/>
          <w:szCs w:val="28"/>
        </w:rPr>
        <w:t>（比选申请人名称）</w:t>
      </w:r>
      <w:r>
        <w:rPr>
          <w:rFonts w:hint="eastAsia" w:ascii="仿宋" w:eastAsia="仿宋" w:cs="仿宋"/>
          <w:color w:val="auto"/>
          <w:sz w:val="28"/>
          <w:szCs w:val="28"/>
          <w:u w:val="single"/>
        </w:rPr>
        <w:t xml:space="preserve">          </w:t>
      </w:r>
      <w:r>
        <w:rPr>
          <w:rFonts w:hint="eastAsia" w:ascii="仿宋" w:eastAsia="仿宋" w:cs="仿宋"/>
          <w:color w:val="auto"/>
          <w:sz w:val="28"/>
          <w:szCs w:val="28"/>
        </w:rPr>
        <w:t>（法定代表人姓名、职务）授权</w:t>
      </w:r>
      <w:r>
        <w:rPr>
          <w:rFonts w:hint="eastAsia" w:ascii="仿宋" w:eastAsia="仿宋" w:cs="仿宋"/>
          <w:color w:val="auto"/>
          <w:sz w:val="28"/>
          <w:szCs w:val="28"/>
          <w:u w:val="single"/>
        </w:rPr>
        <w:t xml:space="preserve">                        </w:t>
      </w:r>
      <w:r>
        <w:rPr>
          <w:rFonts w:hint="eastAsia" w:ascii="仿宋" w:eastAsia="仿宋" w:cs="仿宋"/>
          <w:color w:val="auto"/>
          <w:sz w:val="28"/>
          <w:szCs w:val="28"/>
        </w:rPr>
        <w:t xml:space="preserve">（被授权人姓名、职务）为我方 “ </w:t>
      </w:r>
      <w:r>
        <w:rPr>
          <w:rFonts w:hint="eastAsia" w:ascii="仿宋" w:eastAsia="仿宋" w:cs="仿宋"/>
          <w:color w:val="auto"/>
          <w:sz w:val="28"/>
          <w:szCs w:val="28"/>
          <w:u w:val="single"/>
        </w:rPr>
        <w:t xml:space="preserve">             </w:t>
      </w:r>
      <w:r>
        <w:rPr>
          <w:rFonts w:hint="eastAsia" w:ascii="仿宋" w:eastAsia="仿宋" w:cs="仿宋"/>
          <w:color w:val="auto"/>
          <w:sz w:val="28"/>
          <w:szCs w:val="28"/>
        </w:rPr>
        <w:t>” 项目比选活动的合法代表，以我方名义全权处理该项目有关比选、签订合同以及执行合同等一切事宜。</w:t>
      </w:r>
    </w:p>
    <w:p>
      <w:pPr>
        <w:spacing w:line="560" w:lineRule="exact"/>
        <w:ind w:firstLine="560" w:firstLineChars="200"/>
        <w:rPr>
          <w:rFonts w:ascii="仿宋" w:eastAsia="仿宋" w:cs="仿宋"/>
          <w:color w:val="auto"/>
          <w:sz w:val="28"/>
          <w:szCs w:val="28"/>
        </w:rPr>
      </w:pPr>
      <w:r>
        <w:rPr>
          <w:rFonts w:hint="eastAsia" w:ascii="仿宋" w:eastAsia="仿宋" w:cs="仿宋"/>
          <w:color w:val="auto"/>
          <w:sz w:val="28"/>
          <w:szCs w:val="28"/>
        </w:rPr>
        <w:t>特此声明。</w:t>
      </w:r>
    </w:p>
    <w:p>
      <w:pPr>
        <w:spacing w:line="560" w:lineRule="exact"/>
        <w:ind w:firstLine="560" w:firstLineChars="200"/>
        <w:rPr>
          <w:rFonts w:ascii="仿宋" w:eastAsia="仿宋" w:cs="仿宋"/>
          <w:color w:val="auto"/>
          <w:sz w:val="28"/>
          <w:szCs w:val="28"/>
        </w:rPr>
      </w:pPr>
    </w:p>
    <w:p>
      <w:pPr>
        <w:spacing w:line="560" w:lineRule="exact"/>
        <w:ind w:firstLine="560" w:firstLineChars="200"/>
        <w:rPr>
          <w:rFonts w:ascii="仿宋" w:eastAsia="仿宋" w:cs="仿宋"/>
          <w:color w:val="auto"/>
          <w:sz w:val="28"/>
          <w:szCs w:val="28"/>
        </w:rPr>
      </w:pPr>
      <w:r>
        <w:rPr>
          <w:rFonts w:hint="eastAsia" w:ascii="仿宋" w:eastAsia="仿宋" w:cs="仿宋"/>
          <w:color w:val="auto"/>
          <w:sz w:val="28"/>
          <w:szCs w:val="28"/>
        </w:rPr>
        <w:t>附：授权人及被授权人身份证复印件</w:t>
      </w:r>
    </w:p>
    <w:p>
      <w:pPr>
        <w:spacing w:line="560" w:lineRule="exact"/>
        <w:ind w:firstLine="560" w:firstLineChars="200"/>
        <w:rPr>
          <w:rFonts w:ascii="仿宋" w:eastAsia="仿宋" w:cs="仿宋"/>
          <w:color w:val="auto"/>
          <w:sz w:val="28"/>
          <w:szCs w:val="28"/>
        </w:rPr>
      </w:pPr>
    </w:p>
    <w:p>
      <w:pPr>
        <w:spacing w:line="560" w:lineRule="exact"/>
        <w:ind w:firstLine="560" w:firstLineChars="200"/>
        <w:rPr>
          <w:rFonts w:ascii="仿宋" w:eastAsia="仿宋" w:cs="仿宋"/>
          <w:color w:val="auto"/>
          <w:sz w:val="28"/>
          <w:szCs w:val="28"/>
        </w:rPr>
      </w:pPr>
      <w:r>
        <w:rPr>
          <w:rFonts w:hint="eastAsia" w:ascii="仿宋" w:eastAsia="仿宋" w:cs="仿宋"/>
          <w:color w:val="auto"/>
          <w:sz w:val="28"/>
          <w:szCs w:val="28"/>
        </w:rPr>
        <w:t>法定代表人签字：</w:t>
      </w:r>
    </w:p>
    <w:p>
      <w:pPr>
        <w:spacing w:line="560" w:lineRule="exact"/>
        <w:ind w:firstLine="560" w:firstLineChars="200"/>
        <w:rPr>
          <w:rFonts w:ascii="仿宋" w:eastAsia="仿宋" w:cs="仿宋"/>
          <w:color w:val="auto"/>
          <w:sz w:val="28"/>
          <w:szCs w:val="28"/>
        </w:rPr>
      </w:pPr>
      <w:r>
        <w:rPr>
          <w:rFonts w:hint="eastAsia" w:ascii="仿宋" w:eastAsia="仿宋" w:cs="仿宋"/>
          <w:color w:val="auto"/>
          <w:sz w:val="28"/>
          <w:szCs w:val="28"/>
        </w:rPr>
        <w:t>授权代表签字：</w:t>
      </w:r>
    </w:p>
    <w:p>
      <w:pPr>
        <w:spacing w:line="560" w:lineRule="exact"/>
        <w:ind w:firstLine="560" w:firstLineChars="200"/>
        <w:rPr>
          <w:rFonts w:ascii="仿宋" w:eastAsia="仿宋" w:cs="仿宋"/>
          <w:color w:val="auto"/>
          <w:sz w:val="28"/>
          <w:szCs w:val="28"/>
        </w:rPr>
      </w:pPr>
      <w:r>
        <w:rPr>
          <w:rFonts w:hint="eastAsia" w:ascii="仿宋" w:eastAsia="仿宋" w:cs="仿宋"/>
          <w:color w:val="auto"/>
          <w:sz w:val="28"/>
          <w:szCs w:val="28"/>
        </w:rPr>
        <w:t>比选申请人名称：         （盖章）</w:t>
      </w:r>
    </w:p>
    <w:p>
      <w:pPr>
        <w:spacing w:line="560" w:lineRule="exact"/>
        <w:ind w:firstLine="560" w:firstLineChars="200"/>
        <w:rPr>
          <w:rFonts w:ascii="仿宋" w:eastAsia="仿宋" w:cs="仿宋"/>
          <w:color w:val="auto"/>
          <w:sz w:val="28"/>
          <w:szCs w:val="28"/>
        </w:rPr>
      </w:pPr>
      <w:r>
        <w:rPr>
          <w:rFonts w:hint="eastAsia" w:ascii="仿宋" w:eastAsia="仿宋" w:cs="仿宋"/>
          <w:color w:val="auto"/>
          <w:sz w:val="28"/>
          <w:szCs w:val="28"/>
        </w:rPr>
        <w:t>日期：</w:t>
      </w:r>
    </w:p>
    <w:p>
      <w:pPr>
        <w:rPr>
          <w:rFonts w:ascii="仿宋" w:eastAsia="仿宋"/>
          <w:color w:val="auto"/>
          <w:sz w:val="28"/>
          <w:szCs w:val="28"/>
        </w:rPr>
      </w:pPr>
      <w:bookmarkStart w:id="359" w:name="_Toc217446085"/>
      <w:r>
        <w:rPr>
          <w:rFonts w:hint="eastAsia" w:ascii="仿宋" w:eastAsia="仿宋"/>
          <w:color w:val="auto"/>
          <w:sz w:val="28"/>
          <w:szCs w:val="28"/>
        </w:rPr>
        <w:br w:type="page"/>
      </w:r>
    </w:p>
    <w:p>
      <w:pPr>
        <w:pStyle w:val="4"/>
        <w:spacing w:line="400" w:lineRule="exact"/>
        <w:jc w:val="center"/>
        <w:rPr>
          <w:rFonts w:ascii="仿宋" w:eastAsia="仿宋"/>
          <w:bCs w:val="0"/>
          <w:color w:val="auto"/>
          <w:szCs w:val="28"/>
        </w:rPr>
      </w:pPr>
      <w:r>
        <w:rPr>
          <w:rFonts w:hint="eastAsia" w:ascii="仿宋" w:eastAsia="仿宋"/>
          <w:bCs w:val="0"/>
          <w:color w:val="auto"/>
          <w:szCs w:val="28"/>
        </w:rPr>
        <w:t>三、</w:t>
      </w:r>
      <w:bookmarkEnd w:id="359"/>
      <w:r>
        <w:rPr>
          <w:rFonts w:hint="eastAsia" w:ascii="仿宋" w:eastAsia="仿宋"/>
          <w:bCs w:val="0"/>
          <w:color w:val="auto"/>
          <w:szCs w:val="28"/>
        </w:rPr>
        <w:t>报价函</w:t>
      </w:r>
    </w:p>
    <w:p>
      <w:pPr>
        <w:spacing w:line="400" w:lineRule="exact"/>
        <w:rPr>
          <w:rFonts w:ascii="仿宋" w:eastAsia="仿宋"/>
          <w:color w:val="auto"/>
          <w:sz w:val="28"/>
        </w:rPr>
      </w:pPr>
      <w:r>
        <w:rPr>
          <w:rFonts w:hint="eastAsia" w:ascii="仿宋" w:eastAsia="仿宋"/>
          <w:color w:val="auto"/>
          <w:sz w:val="28"/>
        </w:rPr>
        <w:t xml:space="preserve">                                                                   </w:t>
      </w:r>
    </w:p>
    <w:p>
      <w:pPr>
        <w:spacing w:line="560" w:lineRule="exact"/>
        <w:rPr>
          <w:rFonts w:ascii="仿宋" w:eastAsia="仿宋" w:cs="仿宋"/>
          <w:bCs/>
          <w:color w:val="auto"/>
          <w:sz w:val="28"/>
          <w:szCs w:val="28"/>
        </w:rPr>
      </w:pPr>
      <w:bookmarkStart w:id="360" w:name="PO_默认文件内容_9"/>
      <w:r>
        <w:rPr>
          <w:rFonts w:hint="eastAsia" w:ascii="仿宋" w:eastAsia="仿宋" w:cs="仿宋"/>
          <w:bCs/>
          <w:color w:val="auto"/>
          <w:sz w:val="28"/>
          <w:szCs w:val="28"/>
          <w:u w:val="single"/>
        </w:rPr>
        <w:t>四川蜀物兴川物流发展有限公司</w:t>
      </w:r>
      <w:r>
        <w:rPr>
          <w:rFonts w:hint="eastAsia" w:ascii="仿宋" w:eastAsia="仿宋" w:cs="仿宋"/>
          <w:bCs/>
          <w:color w:val="auto"/>
          <w:sz w:val="28"/>
          <w:szCs w:val="28"/>
        </w:rPr>
        <w:t>：</w:t>
      </w:r>
    </w:p>
    <w:p>
      <w:pPr>
        <w:spacing w:line="560" w:lineRule="exact"/>
        <w:ind w:firstLine="560" w:firstLineChars="200"/>
        <w:rPr>
          <w:rFonts w:ascii="仿宋" w:eastAsia="仿宋" w:cs="仿宋"/>
          <w:color w:val="auto"/>
          <w:sz w:val="28"/>
          <w:szCs w:val="28"/>
        </w:rPr>
      </w:pPr>
      <w:r>
        <w:rPr>
          <w:rFonts w:hint="eastAsia" w:ascii="仿宋" w:eastAsia="仿宋" w:cs="仿宋"/>
          <w:color w:val="auto"/>
          <w:sz w:val="28"/>
          <w:szCs w:val="28"/>
        </w:rPr>
        <w:t>我单位</w:t>
      </w:r>
      <w:r>
        <w:rPr>
          <w:rFonts w:hint="eastAsia" w:ascii="仿宋" w:eastAsia="仿宋" w:cs="仿宋"/>
          <w:color w:val="auto"/>
          <w:sz w:val="28"/>
          <w:szCs w:val="28"/>
          <w:lang w:val="en-US" w:eastAsia="zh-CN"/>
        </w:rPr>
        <w:t>已</w:t>
      </w:r>
      <w:r>
        <w:rPr>
          <w:rFonts w:hint="eastAsia" w:ascii="仿宋" w:eastAsia="仿宋" w:cs="仿宋"/>
          <w:color w:val="auto"/>
          <w:sz w:val="28"/>
          <w:szCs w:val="28"/>
        </w:rPr>
        <w:t>仔细研究了比选文件的全部内容，并作出如下报价：</w:t>
      </w:r>
    </w:p>
    <w:tbl>
      <w:tblPr>
        <w:tblStyle w:val="32"/>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538"/>
        <w:gridCol w:w="1029"/>
        <w:gridCol w:w="1035"/>
        <w:gridCol w:w="198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0" w:type="dxa"/>
            <w:vAlign w:val="center"/>
          </w:tcPr>
          <w:p>
            <w:pPr>
              <w:widowControl/>
              <w:jc w:val="center"/>
              <w:rPr>
                <w:rFonts w:ascii="仿宋" w:eastAsia="仿宋"/>
                <w:bCs/>
                <w:color w:val="auto"/>
                <w:kern w:val="2"/>
                <w:sz w:val="24"/>
                <w:szCs w:val="24"/>
              </w:rPr>
            </w:pPr>
            <w:r>
              <w:rPr>
                <w:rFonts w:hint="eastAsia" w:ascii="仿宋" w:eastAsia="仿宋"/>
                <w:bCs/>
                <w:color w:val="auto"/>
                <w:kern w:val="2"/>
                <w:sz w:val="24"/>
                <w:szCs w:val="24"/>
              </w:rPr>
              <w:t>序号</w:t>
            </w:r>
          </w:p>
        </w:tc>
        <w:tc>
          <w:tcPr>
            <w:tcW w:w="1538" w:type="dxa"/>
            <w:vAlign w:val="center"/>
          </w:tcPr>
          <w:p>
            <w:pPr>
              <w:widowControl/>
              <w:jc w:val="center"/>
              <w:rPr>
                <w:rFonts w:ascii="仿宋" w:eastAsia="仿宋"/>
                <w:bCs/>
                <w:color w:val="auto"/>
                <w:kern w:val="2"/>
                <w:sz w:val="24"/>
                <w:szCs w:val="24"/>
              </w:rPr>
            </w:pPr>
            <w:r>
              <w:rPr>
                <w:rFonts w:hint="eastAsia" w:ascii="仿宋" w:eastAsia="仿宋"/>
                <w:bCs/>
                <w:color w:val="auto"/>
                <w:kern w:val="2"/>
                <w:sz w:val="24"/>
                <w:szCs w:val="24"/>
              </w:rPr>
              <w:t>服务内容</w:t>
            </w:r>
          </w:p>
        </w:tc>
        <w:tc>
          <w:tcPr>
            <w:tcW w:w="2064" w:type="dxa"/>
            <w:gridSpan w:val="2"/>
            <w:vAlign w:val="center"/>
          </w:tcPr>
          <w:p>
            <w:pPr>
              <w:widowControl/>
              <w:jc w:val="center"/>
              <w:rPr>
                <w:rFonts w:ascii="仿宋" w:eastAsia="仿宋"/>
                <w:bCs/>
                <w:color w:val="auto"/>
                <w:kern w:val="2"/>
                <w:sz w:val="24"/>
                <w:szCs w:val="24"/>
              </w:rPr>
            </w:pPr>
            <w:r>
              <w:rPr>
                <w:rFonts w:hint="eastAsia" w:ascii="仿宋" w:eastAsia="仿宋"/>
                <w:bCs/>
                <w:color w:val="auto"/>
                <w:kern w:val="2"/>
                <w:sz w:val="24"/>
                <w:szCs w:val="24"/>
              </w:rPr>
              <w:t>报价内容</w:t>
            </w:r>
          </w:p>
        </w:tc>
        <w:tc>
          <w:tcPr>
            <w:tcW w:w="1980" w:type="dxa"/>
            <w:vAlign w:val="center"/>
          </w:tcPr>
          <w:p>
            <w:pPr>
              <w:widowControl/>
              <w:jc w:val="center"/>
              <w:rPr>
                <w:rFonts w:ascii="仿宋" w:eastAsia="仿宋"/>
                <w:bCs/>
                <w:color w:val="auto"/>
                <w:kern w:val="2"/>
                <w:sz w:val="24"/>
                <w:szCs w:val="24"/>
              </w:rPr>
            </w:pPr>
            <w:r>
              <w:rPr>
                <w:rFonts w:hint="eastAsia" w:ascii="仿宋" w:eastAsia="仿宋"/>
                <w:bCs/>
                <w:color w:val="auto"/>
                <w:kern w:val="2"/>
                <w:sz w:val="24"/>
                <w:szCs w:val="24"/>
              </w:rPr>
              <w:t>报价</w:t>
            </w:r>
          </w:p>
        </w:tc>
        <w:tc>
          <w:tcPr>
            <w:tcW w:w="2591" w:type="dxa"/>
            <w:vAlign w:val="center"/>
          </w:tcPr>
          <w:p>
            <w:pPr>
              <w:widowControl/>
              <w:jc w:val="center"/>
              <w:rPr>
                <w:rFonts w:ascii="仿宋" w:eastAsia="仿宋"/>
                <w:bCs/>
                <w:color w:val="auto"/>
                <w:kern w:val="2"/>
                <w:sz w:val="24"/>
                <w:szCs w:val="24"/>
              </w:rPr>
            </w:pPr>
            <w:r>
              <w:rPr>
                <w:rFonts w:hint="eastAsia" w:ascii="仿宋" w:eastAsia="仿宋"/>
                <w:bCs/>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000" w:type="dxa"/>
            <w:vAlign w:val="center"/>
          </w:tcPr>
          <w:p>
            <w:pPr>
              <w:widowControl/>
              <w:jc w:val="center"/>
              <w:rPr>
                <w:rFonts w:ascii="仿宋" w:eastAsia="仿宋"/>
                <w:bCs/>
                <w:color w:val="auto"/>
                <w:kern w:val="2"/>
                <w:sz w:val="24"/>
                <w:szCs w:val="24"/>
              </w:rPr>
            </w:pPr>
            <w:r>
              <w:rPr>
                <w:rFonts w:hint="eastAsia" w:ascii="仿宋" w:eastAsia="仿宋"/>
                <w:bCs/>
                <w:color w:val="auto"/>
                <w:kern w:val="2"/>
                <w:sz w:val="24"/>
                <w:szCs w:val="24"/>
              </w:rPr>
              <w:t>1</w:t>
            </w:r>
          </w:p>
        </w:tc>
        <w:tc>
          <w:tcPr>
            <w:tcW w:w="1538" w:type="dxa"/>
            <w:vMerge w:val="restart"/>
            <w:vAlign w:val="center"/>
          </w:tcPr>
          <w:p>
            <w:pPr>
              <w:widowControl/>
              <w:spacing w:after="120"/>
              <w:jc w:val="center"/>
              <w:rPr>
                <w:rFonts w:ascii="仿宋" w:eastAsia="仿宋"/>
                <w:bCs/>
                <w:color w:val="auto"/>
                <w:kern w:val="2"/>
                <w:sz w:val="24"/>
                <w:szCs w:val="24"/>
              </w:rPr>
            </w:pPr>
            <w:r>
              <w:rPr>
                <w:rFonts w:hint="eastAsia" w:ascii="仿宋" w:eastAsia="仿宋"/>
                <w:bCs/>
                <w:color w:val="auto"/>
                <w:kern w:val="2"/>
                <w:sz w:val="24"/>
                <w:szCs w:val="24"/>
              </w:rPr>
              <w:t>某公司港口作业纠纷案件诉讼及过程法律服务采购项目</w:t>
            </w:r>
          </w:p>
        </w:tc>
        <w:tc>
          <w:tcPr>
            <w:tcW w:w="2064" w:type="dxa"/>
            <w:gridSpan w:val="2"/>
            <w:vAlign w:val="center"/>
          </w:tcPr>
          <w:p>
            <w:pPr>
              <w:widowControl/>
              <w:spacing w:after="120"/>
              <w:jc w:val="center"/>
              <w:rPr>
                <w:rFonts w:ascii="仿宋" w:eastAsia="仿宋"/>
                <w:bCs/>
                <w:color w:val="auto"/>
                <w:kern w:val="2"/>
                <w:sz w:val="24"/>
                <w:szCs w:val="24"/>
              </w:rPr>
            </w:pPr>
            <w:r>
              <w:rPr>
                <w:rFonts w:hint="eastAsia" w:ascii="仿宋" w:eastAsia="仿宋"/>
                <w:bCs/>
                <w:color w:val="auto"/>
                <w:kern w:val="2"/>
                <w:sz w:val="24"/>
                <w:szCs w:val="24"/>
              </w:rPr>
              <w:t>基础代理费用</w:t>
            </w:r>
          </w:p>
        </w:tc>
        <w:tc>
          <w:tcPr>
            <w:tcW w:w="1980" w:type="dxa"/>
            <w:vAlign w:val="center"/>
          </w:tcPr>
          <w:p>
            <w:pPr>
              <w:widowControl/>
              <w:spacing w:after="120"/>
              <w:jc w:val="center"/>
              <w:rPr>
                <w:rFonts w:ascii="仿宋" w:eastAsia="仿宋"/>
                <w:bCs/>
                <w:color w:val="auto"/>
                <w:kern w:val="2"/>
                <w:sz w:val="24"/>
                <w:szCs w:val="24"/>
                <w:u w:val="single"/>
              </w:rPr>
            </w:pPr>
            <w:r>
              <w:rPr>
                <w:rFonts w:hint="eastAsia" w:ascii="仿宋" w:eastAsia="仿宋"/>
                <w:bCs/>
                <w:color w:val="auto"/>
                <w:kern w:val="2"/>
                <w:sz w:val="24"/>
                <w:szCs w:val="24"/>
                <w:u w:val="single"/>
              </w:rPr>
              <w:t xml:space="preserve">   万元</w:t>
            </w:r>
          </w:p>
        </w:tc>
        <w:tc>
          <w:tcPr>
            <w:tcW w:w="2591" w:type="dxa"/>
            <w:vAlign w:val="center"/>
          </w:tcPr>
          <w:p>
            <w:pPr>
              <w:widowControl/>
              <w:spacing w:after="120"/>
              <w:jc w:val="center"/>
              <w:rPr>
                <w:rFonts w:ascii="仿宋" w:eastAsia="仿宋"/>
                <w:bCs/>
                <w:color w:val="auto"/>
                <w:kern w:val="2"/>
                <w:sz w:val="24"/>
                <w:szCs w:val="24"/>
                <w:u w:val="single"/>
              </w:rPr>
            </w:pPr>
            <w:r>
              <w:rPr>
                <w:rFonts w:hint="eastAsia" w:ascii="仿宋" w:eastAsia="仿宋"/>
                <w:bCs/>
                <w:color w:val="auto"/>
                <w:kern w:val="2"/>
                <w:sz w:val="24"/>
                <w:szCs w:val="24"/>
                <w:u w:val="single"/>
              </w:rPr>
              <w:t>最高限价12万元。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00" w:type="dxa"/>
            <w:vAlign w:val="center"/>
          </w:tcPr>
          <w:p>
            <w:pPr>
              <w:widowControl/>
              <w:jc w:val="center"/>
              <w:rPr>
                <w:rFonts w:ascii="仿宋" w:eastAsia="仿宋"/>
                <w:bCs/>
                <w:color w:val="auto"/>
                <w:kern w:val="2"/>
                <w:sz w:val="24"/>
                <w:szCs w:val="24"/>
              </w:rPr>
            </w:pPr>
            <w:r>
              <w:rPr>
                <w:rFonts w:hint="eastAsia" w:ascii="仿宋" w:eastAsia="仿宋"/>
                <w:bCs/>
                <w:color w:val="auto"/>
                <w:kern w:val="2"/>
                <w:sz w:val="24"/>
                <w:szCs w:val="24"/>
              </w:rPr>
              <w:t>2</w:t>
            </w:r>
          </w:p>
        </w:tc>
        <w:tc>
          <w:tcPr>
            <w:tcW w:w="1538" w:type="dxa"/>
            <w:vMerge w:val="continue"/>
            <w:vAlign w:val="center"/>
          </w:tcPr>
          <w:p>
            <w:pPr>
              <w:widowControl/>
              <w:jc w:val="center"/>
              <w:rPr>
                <w:color w:val="auto"/>
              </w:rPr>
            </w:pPr>
          </w:p>
        </w:tc>
        <w:tc>
          <w:tcPr>
            <w:tcW w:w="1029" w:type="dxa"/>
            <w:vMerge w:val="restart"/>
            <w:vAlign w:val="center"/>
          </w:tcPr>
          <w:p>
            <w:pPr>
              <w:widowControl/>
              <w:spacing w:after="120"/>
              <w:jc w:val="center"/>
              <w:rPr>
                <w:rFonts w:ascii="仿宋" w:eastAsia="仿宋"/>
                <w:bCs/>
                <w:color w:val="auto"/>
                <w:kern w:val="2"/>
                <w:sz w:val="24"/>
                <w:szCs w:val="24"/>
              </w:rPr>
            </w:pPr>
            <w:r>
              <w:rPr>
                <w:rFonts w:hint="eastAsia" w:ascii="仿宋" w:eastAsia="仿宋"/>
                <w:color w:val="auto"/>
                <w:kern w:val="2"/>
                <w:sz w:val="24"/>
                <w:szCs w:val="24"/>
              </w:rPr>
              <w:t>风险代理费率</w:t>
            </w:r>
          </w:p>
        </w:tc>
        <w:tc>
          <w:tcPr>
            <w:tcW w:w="1035" w:type="dxa"/>
            <w:vAlign w:val="center"/>
          </w:tcPr>
          <w:p>
            <w:pPr>
              <w:widowControl/>
              <w:spacing w:after="120"/>
              <w:jc w:val="center"/>
              <w:rPr>
                <w:rFonts w:ascii="仿宋" w:eastAsia="仿宋"/>
                <w:color w:val="auto"/>
                <w:kern w:val="2"/>
                <w:sz w:val="24"/>
                <w:szCs w:val="24"/>
              </w:rPr>
            </w:pPr>
            <w:r>
              <w:rPr>
                <w:rFonts w:hint="eastAsia" w:ascii="仿宋" w:eastAsia="仿宋"/>
                <w:color w:val="auto"/>
                <w:kern w:val="2"/>
                <w:sz w:val="24"/>
                <w:szCs w:val="24"/>
              </w:rPr>
              <w:t>C</w:t>
            </w:r>
            <w:r>
              <w:rPr>
                <w:rFonts w:hint="eastAsia" w:ascii="仿宋" w:eastAsia="仿宋"/>
                <w:color w:val="auto"/>
                <w:kern w:val="2"/>
                <w:sz w:val="24"/>
                <w:szCs w:val="24"/>
                <w:vertAlign w:val="subscript"/>
              </w:rPr>
              <w:t>1</w:t>
            </w:r>
          </w:p>
        </w:tc>
        <w:tc>
          <w:tcPr>
            <w:tcW w:w="1980" w:type="dxa"/>
            <w:vAlign w:val="center"/>
          </w:tcPr>
          <w:p>
            <w:pPr>
              <w:widowControl/>
              <w:spacing w:after="120"/>
              <w:jc w:val="center"/>
              <w:rPr>
                <w:rFonts w:ascii="仿宋" w:eastAsia="仿宋"/>
                <w:bCs/>
                <w:color w:val="auto"/>
                <w:kern w:val="2"/>
                <w:sz w:val="24"/>
                <w:szCs w:val="24"/>
                <w:u w:val="single"/>
              </w:rPr>
            </w:pPr>
            <w:r>
              <w:rPr>
                <w:rFonts w:hint="eastAsia" w:ascii="仿宋" w:eastAsia="仿宋"/>
                <w:bCs/>
                <w:color w:val="auto"/>
                <w:kern w:val="2"/>
                <w:sz w:val="24"/>
                <w:szCs w:val="24"/>
                <w:u w:val="single"/>
              </w:rPr>
              <w:t xml:space="preserve">   %</w:t>
            </w:r>
          </w:p>
        </w:tc>
        <w:tc>
          <w:tcPr>
            <w:tcW w:w="2591" w:type="dxa"/>
            <w:vAlign w:val="center"/>
          </w:tcPr>
          <w:p>
            <w:pPr>
              <w:widowControl/>
              <w:spacing w:after="120"/>
              <w:jc w:val="center"/>
              <w:rPr>
                <w:rFonts w:ascii="仿宋" w:eastAsia="仿宋"/>
                <w:bCs/>
                <w:color w:val="auto"/>
                <w:kern w:val="2"/>
                <w:sz w:val="24"/>
                <w:szCs w:val="24"/>
              </w:rPr>
            </w:pPr>
            <w:r>
              <w:rPr>
                <w:rFonts w:hint="eastAsia" w:ascii="仿宋" w:eastAsia="仿宋"/>
                <w:bCs/>
                <w:color w:val="auto"/>
                <w:kern w:val="2"/>
                <w:sz w:val="24"/>
                <w:szCs w:val="24"/>
              </w:rPr>
              <w:t>不超过8%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00" w:type="dxa"/>
            <w:vAlign w:val="center"/>
          </w:tcPr>
          <w:p>
            <w:pPr>
              <w:widowControl/>
              <w:jc w:val="center"/>
              <w:rPr>
                <w:rFonts w:ascii="仿宋" w:eastAsia="仿宋"/>
                <w:bCs/>
                <w:color w:val="auto"/>
                <w:kern w:val="2"/>
                <w:sz w:val="24"/>
                <w:szCs w:val="24"/>
              </w:rPr>
            </w:pPr>
            <w:r>
              <w:rPr>
                <w:rFonts w:hint="eastAsia" w:ascii="仿宋" w:eastAsia="仿宋"/>
                <w:bCs/>
                <w:color w:val="auto"/>
                <w:kern w:val="2"/>
                <w:sz w:val="24"/>
                <w:szCs w:val="24"/>
              </w:rPr>
              <w:t>3</w:t>
            </w:r>
          </w:p>
        </w:tc>
        <w:tc>
          <w:tcPr>
            <w:tcW w:w="1538" w:type="dxa"/>
            <w:vMerge w:val="continue"/>
            <w:vAlign w:val="center"/>
          </w:tcPr>
          <w:p>
            <w:pPr>
              <w:widowControl/>
              <w:jc w:val="center"/>
              <w:rPr>
                <w:color w:val="auto"/>
              </w:rPr>
            </w:pPr>
          </w:p>
        </w:tc>
        <w:tc>
          <w:tcPr>
            <w:tcW w:w="1029" w:type="dxa"/>
            <w:vMerge w:val="continue"/>
            <w:vAlign w:val="center"/>
          </w:tcPr>
          <w:p>
            <w:pPr>
              <w:widowControl/>
              <w:spacing w:after="120"/>
              <w:jc w:val="center"/>
              <w:rPr>
                <w:rFonts w:ascii="仿宋" w:eastAsia="仿宋"/>
                <w:color w:val="auto"/>
                <w:kern w:val="2"/>
                <w:sz w:val="24"/>
                <w:szCs w:val="24"/>
              </w:rPr>
            </w:pPr>
          </w:p>
        </w:tc>
        <w:tc>
          <w:tcPr>
            <w:tcW w:w="1035" w:type="dxa"/>
            <w:vAlign w:val="center"/>
          </w:tcPr>
          <w:p>
            <w:pPr>
              <w:widowControl/>
              <w:spacing w:after="120"/>
              <w:jc w:val="center"/>
              <w:rPr>
                <w:rFonts w:ascii="仿宋" w:eastAsia="仿宋"/>
                <w:color w:val="auto"/>
                <w:kern w:val="2"/>
                <w:sz w:val="24"/>
                <w:szCs w:val="24"/>
              </w:rPr>
            </w:pPr>
            <w:r>
              <w:rPr>
                <w:rFonts w:hint="eastAsia" w:ascii="仿宋" w:eastAsia="仿宋"/>
                <w:color w:val="auto"/>
                <w:kern w:val="2"/>
                <w:sz w:val="24"/>
                <w:szCs w:val="24"/>
              </w:rPr>
              <w:t>C</w:t>
            </w:r>
            <w:r>
              <w:rPr>
                <w:rFonts w:hint="eastAsia" w:ascii="仿宋" w:eastAsia="仿宋"/>
                <w:color w:val="auto"/>
                <w:kern w:val="2"/>
                <w:sz w:val="24"/>
                <w:szCs w:val="24"/>
                <w:vertAlign w:val="subscript"/>
              </w:rPr>
              <w:t>2</w:t>
            </w:r>
          </w:p>
        </w:tc>
        <w:tc>
          <w:tcPr>
            <w:tcW w:w="1980" w:type="dxa"/>
            <w:vAlign w:val="center"/>
          </w:tcPr>
          <w:p>
            <w:pPr>
              <w:widowControl/>
              <w:spacing w:after="120"/>
              <w:jc w:val="center"/>
              <w:rPr>
                <w:rFonts w:ascii="仿宋" w:eastAsia="仿宋"/>
                <w:bCs/>
                <w:color w:val="auto"/>
                <w:kern w:val="2"/>
                <w:sz w:val="24"/>
                <w:szCs w:val="24"/>
                <w:u w:val="single"/>
              </w:rPr>
            </w:pPr>
            <w:r>
              <w:rPr>
                <w:rFonts w:hint="eastAsia" w:ascii="仿宋" w:eastAsia="仿宋"/>
                <w:bCs/>
                <w:color w:val="auto"/>
                <w:kern w:val="2"/>
                <w:sz w:val="24"/>
                <w:szCs w:val="24"/>
                <w:u w:val="single"/>
              </w:rPr>
              <w:t xml:space="preserve">   %</w:t>
            </w:r>
          </w:p>
        </w:tc>
        <w:tc>
          <w:tcPr>
            <w:tcW w:w="2591" w:type="dxa"/>
            <w:vAlign w:val="center"/>
          </w:tcPr>
          <w:p>
            <w:pPr>
              <w:widowControl/>
              <w:spacing w:after="120"/>
              <w:jc w:val="center"/>
              <w:rPr>
                <w:rFonts w:ascii="仿宋" w:eastAsia="仿宋"/>
                <w:bCs/>
                <w:color w:val="auto"/>
                <w:kern w:val="2"/>
                <w:sz w:val="24"/>
                <w:szCs w:val="24"/>
              </w:rPr>
            </w:pPr>
            <w:r>
              <w:rPr>
                <w:rFonts w:hint="eastAsia" w:ascii="仿宋" w:eastAsia="仿宋"/>
                <w:bCs/>
                <w:color w:val="auto"/>
                <w:kern w:val="2"/>
                <w:sz w:val="24"/>
                <w:szCs w:val="24"/>
              </w:rPr>
              <w:t>不超过6%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00" w:type="dxa"/>
            <w:vAlign w:val="center"/>
          </w:tcPr>
          <w:p>
            <w:pPr>
              <w:widowControl/>
              <w:jc w:val="center"/>
              <w:rPr>
                <w:rFonts w:ascii="仿宋" w:eastAsia="仿宋"/>
                <w:bCs/>
                <w:color w:val="auto"/>
                <w:kern w:val="2"/>
                <w:sz w:val="24"/>
                <w:szCs w:val="24"/>
              </w:rPr>
            </w:pPr>
            <w:r>
              <w:rPr>
                <w:rFonts w:hint="eastAsia" w:ascii="仿宋" w:eastAsia="仿宋"/>
                <w:bCs/>
                <w:color w:val="auto"/>
                <w:kern w:val="2"/>
                <w:sz w:val="24"/>
                <w:szCs w:val="24"/>
              </w:rPr>
              <w:t>4</w:t>
            </w:r>
          </w:p>
        </w:tc>
        <w:tc>
          <w:tcPr>
            <w:tcW w:w="1538" w:type="dxa"/>
            <w:vMerge w:val="continue"/>
            <w:vAlign w:val="center"/>
          </w:tcPr>
          <w:p>
            <w:pPr>
              <w:widowControl/>
              <w:jc w:val="center"/>
              <w:rPr>
                <w:color w:val="auto"/>
              </w:rPr>
            </w:pPr>
          </w:p>
        </w:tc>
        <w:tc>
          <w:tcPr>
            <w:tcW w:w="1029" w:type="dxa"/>
            <w:vMerge w:val="continue"/>
            <w:vAlign w:val="center"/>
          </w:tcPr>
          <w:p>
            <w:pPr>
              <w:widowControl/>
              <w:spacing w:after="120"/>
              <w:jc w:val="center"/>
              <w:rPr>
                <w:rFonts w:ascii="仿宋" w:eastAsia="仿宋"/>
                <w:color w:val="auto"/>
                <w:kern w:val="2"/>
                <w:sz w:val="24"/>
                <w:szCs w:val="24"/>
              </w:rPr>
            </w:pPr>
          </w:p>
        </w:tc>
        <w:tc>
          <w:tcPr>
            <w:tcW w:w="1035" w:type="dxa"/>
            <w:vAlign w:val="center"/>
          </w:tcPr>
          <w:p>
            <w:pPr>
              <w:widowControl/>
              <w:spacing w:after="120"/>
              <w:jc w:val="center"/>
              <w:rPr>
                <w:rFonts w:ascii="仿宋" w:eastAsia="仿宋"/>
                <w:color w:val="auto"/>
                <w:kern w:val="2"/>
                <w:sz w:val="24"/>
                <w:szCs w:val="24"/>
              </w:rPr>
            </w:pPr>
            <w:r>
              <w:rPr>
                <w:rFonts w:hint="eastAsia" w:ascii="仿宋" w:eastAsia="仿宋"/>
                <w:color w:val="auto"/>
                <w:kern w:val="2"/>
                <w:sz w:val="24"/>
                <w:szCs w:val="24"/>
              </w:rPr>
              <w:t>C</w:t>
            </w:r>
            <w:r>
              <w:rPr>
                <w:rFonts w:hint="eastAsia" w:ascii="仿宋" w:eastAsia="仿宋"/>
                <w:color w:val="auto"/>
                <w:kern w:val="2"/>
                <w:sz w:val="24"/>
                <w:szCs w:val="24"/>
                <w:vertAlign w:val="subscript"/>
              </w:rPr>
              <w:t>3</w:t>
            </w:r>
          </w:p>
        </w:tc>
        <w:tc>
          <w:tcPr>
            <w:tcW w:w="1980" w:type="dxa"/>
            <w:vAlign w:val="center"/>
          </w:tcPr>
          <w:p>
            <w:pPr>
              <w:widowControl/>
              <w:spacing w:after="120"/>
              <w:jc w:val="center"/>
              <w:rPr>
                <w:rFonts w:ascii="仿宋" w:eastAsia="仿宋"/>
                <w:bCs/>
                <w:color w:val="auto"/>
                <w:kern w:val="2"/>
                <w:sz w:val="24"/>
                <w:szCs w:val="24"/>
                <w:u w:val="single"/>
              </w:rPr>
            </w:pPr>
            <w:r>
              <w:rPr>
                <w:rFonts w:hint="eastAsia" w:ascii="仿宋" w:eastAsia="仿宋"/>
                <w:bCs/>
                <w:color w:val="auto"/>
                <w:kern w:val="2"/>
                <w:sz w:val="24"/>
                <w:szCs w:val="24"/>
                <w:u w:val="single"/>
              </w:rPr>
              <w:t xml:space="preserve">   %</w:t>
            </w:r>
          </w:p>
        </w:tc>
        <w:tc>
          <w:tcPr>
            <w:tcW w:w="2591" w:type="dxa"/>
            <w:vAlign w:val="center"/>
          </w:tcPr>
          <w:p>
            <w:pPr>
              <w:widowControl/>
              <w:spacing w:after="120"/>
              <w:jc w:val="center"/>
              <w:rPr>
                <w:rFonts w:ascii="仿宋" w:eastAsia="仿宋"/>
                <w:bCs/>
                <w:color w:val="auto"/>
                <w:kern w:val="2"/>
                <w:sz w:val="24"/>
                <w:szCs w:val="24"/>
              </w:rPr>
            </w:pPr>
            <w:r>
              <w:rPr>
                <w:rFonts w:hint="eastAsia" w:ascii="仿宋" w:eastAsia="仿宋"/>
                <w:bCs/>
                <w:color w:val="auto"/>
                <w:kern w:val="2"/>
                <w:sz w:val="24"/>
                <w:szCs w:val="24"/>
              </w:rPr>
              <w:t>不超过3%</w:t>
            </w:r>
          </w:p>
        </w:tc>
      </w:tr>
    </w:tbl>
    <w:p>
      <w:pPr>
        <w:spacing w:line="560" w:lineRule="exact"/>
        <w:jc w:val="left"/>
        <w:rPr>
          <w:rFonts w:ascii="仿宋" w:eastAsia="仿宋" w:cs="仿宋"/>
          <w:color w:val="auto"/>
          <w:sz w:val="28"/>
          <w:szCs w:val="28"/>
        </w:rPr>
      </w:pPr>
      <w:r>
        <w:rPr>
          <w:rFonts w:hint="eastAsia" w:ascii="仿宋" w:eastAsia="仿宋" w:cs="仿宋"/>
          <w:color w:val="auto"/>
          <w:sz w:val="28"/>
          <w:szCs w:val="28"/>
        </w:rPr>
        <w:t xml:space="preserve">注：1.报价包括所有诉讼程序中的代理费、利润、风险、税金。 </w:t>
      </w:r>
    </w:p>
    <w:p>
      <w:pPr>
        <w:spacing w:line="560" w:lineRule="exact"/>
        <w:ind w:firstLine="560" w:firstLineChars="200"/>
        <w:jc w:val="left"/>
        <w:rPr>
          <w:rFonts w:ascii="仿宋" w:eastAsia="仿宋" w:cs="仿宋"/>
          <w:color w:val="auto"/>
          <w:sz w:val="28"/>
          <w:szCs w:val="28"/>
        </w:rPr>
      </w:pPr>
      <w:r>
        <w:rPr>
          <w:rFonts w:hint="eastAsia" w:ascii="仿宋" w:eastAsia="仿宋" w:cs="仿宋"/>
          <w:color w:val="auto"/>
          <w:sz w:val="28"/>
          <w:szCs w:val="28"/>
        </w:rPr>
        <w:t>2.综合报价：</w:t>
      </w:r>
      <w:r>
        <w:rPr>
          <w:rFonts w:hint="eastAsia" w:ascii="仿宋" w:eastAsia="仿宋" w:cs="仿宋"/>
          <w:color w:val="auto"/>
          <w:sz w:val="28"/>
          <w:szCs w:val="28"/>
          <w:u w:val="single"/>
        </w:rPr>
        <w:t>XX元（大写：）</w:t>
      </w:r>
      <w:r>
        <w:rPr>
          <w:rFonts w:hint="eastAsia" w:ascii="仿宋" w:eastAsia="仿宋" w:cs="仿宋"/>
          <w:color w:val="auto"/>
          <w:sz w:val="28"/>
          <w:szCs w:val="28"/>
        </w:rPr>
        <w:t>。综合报价为比选申请人所报基础代理费用、风险代理费用之和，我单位承诺最终结算金额不超过该金额。</w:t>
      </w:r>
    </w:p>
    <w:p>
      <w:pPr>
        <w:spacing w:line="560" w:lineRule="exact"/>
        <w:ind w:firstLine="560" w:firstLineChars="200"/>
        <w:jc w:val="left"/>
        <w:rPr>
          <w:rFonts w:ascii="仿宋" w:eastAsia="仿宋" w:cs="仿宋"/>
          <w:color w:val="auto"/>
          <w:sz w:val="28"/>
          <w:szCs w:val="28"/>
        </w:rPr>
      </w:pPr>
      <w:r>
        <w:rPr>
          <w:rFonts w:hint="eastAsia" w:ascii="仿宋" w:eastAsia="仿宋" w:cs="仿宋"/>
          <w:color w:val="auto"/>
          <w:sz w:val="28"/>
          <w:szCs w:val="28"/>
        </w:rPr>
        <w:t>3.报价有效期为90天。</w:t>
      </w:r>
    </w:p>
    <w:p>
      <w:pPr>
        <w:spacing w:line="560" w:lineRule="exact"/>
        <w:ind w:firstLine="560" w:firstLineChars="200"/>
        <w:jc w:val="left"/>
        <w:rPr>
          <w:rFonts w:ascii="仿宋" w:eastAsia="仿宋" w:cs="仿宋"/>
          <w:color w:val="auto"/>
          <w:sz w:val="28"/>
          <w:szCs w:val="28"/>
        </w:rPr>
      </w:pPr>
    </w:p>
    <w:p>
      <w:pPr>
        <w:adjustRightInd w:val="0"/>
        <w:spacing w:line="560" w:lineRule="exact"/>
        <w:ind w:firstLine="560" w:firstLineChars="200"/>
        <w:jc w:val="left"/>
        <w:rPr>
          <w:rFonts w:ascii="仿宋" w:eastAsia="仿宋" w:cs="仿宋"/>
          <w:color w:val="auto"/>
          <w:sz w:val="28"/>
          <w:szCs w:val="28"/>
        </w:rPr>
      </w:pPr>
      <w:r>
        <w:rPr>
          <w:rFonts w:hint="eastAsia" w:ascii="仿宋" w:eastAsia="仿宋" w:cs="仿宋"/>
          <w:color w:val="auto"/>
          <w:sz w:val="28"/>
          <w:szCs w:val="28"/>
        </w:rPr>
        <w:t>比选申请人名称：        （盖章）</w:t>
      </w:r>
    </w:p>
    <w:p>
      <w:pPr>
        <w:adjustRightInd w:val="0"/>
        <w:spacing w:line="560" w:lineRule="exact"/>
        <w:ind w:firstLine="560" w:firstLineChars="200"/>
        <w:jc w:val="left"/>
        <w:rPr>
          <w:rFonts w:ascii="仿宋" w:eastAsia="仿宋" w:cs="仿宋"/>
          <w:color w:val="auto"/>
          <w:sz w:val="28"/>
          <w:szCs w:val="28"/>
        </w:rPr>
      </w:pPr>
      <w:r>
        <w:rPr>
          <w:rFonts w:hint="eastAsia" w:ascii="仿宋" w:eastAsia="仿宋" w:cs="仿宋"/>
          <w:color w:val="auto"/>
          <w:sz w:val="28"/>
          <w:szCs w:val="28"/>
        </w:rPr>
        <w:t>法定代表人或授权代表（签字）：</w:t>
      </w:r>
    </w:p>
    <w:p>
      <w:pPr>
        <w:adjustRightInd w:val="0"/>
        <w:spacing w:line="560" w:lineRule="exact"/>
        <w:ind w:firstLine="560" w:firstLineChars="200"/>
        <w:jc w:val="left"/>
        <w:rPr>
          <w:rFonts w:ascii="仿宋" w:eastAsia="仿宋" w:cs="仿宋"/>
          <w:color w:val="auto"/>
          <w:sz w:val="28"/>
          <w:szCs w:val="28"/>
        </w:rPr>
        <w:sectPr>
          <w:headerReference r:id="rId7" w:type="default"/>
          <w:footerReference r:id="rId8" w:type="default"/>
          <w:type w:val="nextColumn"/>
          <w:pgSz w:w="11905" w:h="16838"/>
          <w:pgMar w:top="1440" w:right="1474" w:bottom="1440" w:left="1474" w:header="425" w:footer="992" w:gutter="0"/>
          <w:cols w:space="720" w:num="1"/>
          <w:docGrid w:linePitch="312" w:charSpace="0"/>
        </w:sectPr>
      </w:pPr>
      <w:r>
        <w:rPr>
          <w:rFonts w:hint="eastAsia" w:ascii="仿宋" w:eastAsia="仿宋" w:cs="仿宋"/>
          <w:color w:val="auto"/>
          <w:sz w:val="28"/>
          <w:szCs w:val="28"/>
        </w:rPr>
        <w:t>日期：</w:t>
      </w:r>
      <w:bookmarkEnd w:id="360"/>
    </w:p>
    <w:p>
      <w:pPr>
        <w:pStyle w:val="4"/>
        <w:spacing w:before="0" w:after="0" w:line="530" w:lineRule="exact"/>
        <w:jc w:val="center"/>
        <w:rPr>
          <w:rFonts w:ascii="仿宋" w:eastAsia="仿宋"/>
          <w:bCs w:val="0"/>
          <w:color w:val="auto"/>
          <w:szCs w:val="28"/>
        </w:rPr>
      </w:pPr>
      <w:bookmarkStart w:id="361" w:name="_Toc217446087"/>
      <w:r>
        <w:rPr>
          <w:rFonts w:hint="eastAsia" w:ascii="仿宋" w:eastAsia="仿宋"/>
          <w:bCs w:val="0"/>
          <w:color w:val="auto"/>
          <w:szCs w:val="28"/>
        </w:rPr>
        <w:t>四、</w:t>
      </w:r>
      <w:bookmarkEnd w:id="361"/>
      <w:r>
        <w:rPr>
          <w:rFonts w:hint="eastAsia" w:ascii="仿宋" w:eastAsia="仿宋"/>
          <w:bCs w:val="0"/>
          <w:color w:val="auto"/>
          <w:szCs w:val="28"/>
        </w:rPr>
        <w:t>承诺函</w:t>
      </w:r>
    </w:p>
    <w:p>
      <w:pPr>
        <w:adjustRightInd w:val="0"/>
        <w:spacing w:line="530" w:lineRule="exact"/>
        <w:ind w:firstLine="480" w:firstLineChars="200"/>
        <w:jc w:val="left"/>
        <w:rPr>
          <w:rFonts w:ascii="仿宋" w:eastAsia="仿宋" w:cs="仿宋"/>
          <w:bCs/>
          <w:color w:val="auto"/>
          <w:sz w:val="24"/>
          <w:szCs w:val="24"/>
        </w:rPr>
      </w:pPr>
    </w:p>
    <w:p>
      <w:p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四川蜀物兴川物流发展有限公司：</w:t>
      </w:r>
    </w:p>
    <w:p>
      <w:pPr>
        <w:adjustRightInd w:val="0"/>
        <w:spacing w:line="530" w:lineRule="exact"/>
        <w:ind w:firstLine="480" w:firstLineChars="200"/>
        <w:jc w:val="left"/>
        <w:rPr>
          <w:rFonts w:ascii="仿宋" w:eastAsia="仿宋" w:cs="仿宋"/>
          <w:bCs/>
          <w:color w:val="auto"/>
          <w:sz w:val="24"/>
          <w:szCs w:val="24"/>
        </w:rPr>
      </w:pPr>
      <w:r>
        <w:rPr>
          <w:rFonts w:hint="eastAsia" w:ascii="仿宋" w:eastAsia="仿宋" w:cs="仿宋"/>
          <w:bCs/>
          <w:color w:val="auto"/>
          <w:sz w:val="24"/>
          <w:szCs w:val="24"/>
        </w:rPr>
        <w:t xml:space="preserve">我单位作为本次比选项目的比选申请人，现郑重承诺我单位不存在下列情形之一： </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 xml:space="preserve">为比选人不具有独立法人资格的附属机构（单位）； </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 xml:space="preserve">与比选人存在利害关系且可能影响比选公正性； </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 xml:space="preserve">与本比选项目的其他比选申请人为同一个单位负责人； </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 xml:space="preserve">与本比选项目的其他比选申请人存在控股、管理关系； </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被依法暂停或者取消比选资格；</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被责令停产停业、暂扣或者吊销许可证、暂扣或者吊销执照；</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财产被接管或冻结的；</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近三年内有骗取中标或严重违约或重大质量问题的；</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近三年内在招比选和合同履行过程中有腐败行为并被司法机关认定为刑事犯罪行为的；</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近三年内，在比选人（包括与本项目比选人有股权或隶属关系的比选人）的既往项目合同履行过程中，被监督部门或司法机关认定比选申请人不履行合同；</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在参加采购活动前，被纳入法院、工商(市场监管)管理部门、税务部门、银行认定的失信名单且在有效期内，或者在前三年采购合同履约过程中及其他经营活动履约过程中未依法履约被有关行政部门处罚(处理)；</w:t>
      </w:r>
    </w:p>
    <w:p>
      <w:pPr>
        <w:numPr>
          <w:ilvl w:val="0"/>
          <w:numId w:val="13"/>
        </w:numPr>
        <w:adjustRightInd w:val="0"/>
        <w:spacing w:line="530" w:lineRule="exact"/>
        <w:jc w:val="left"/>
        <w:rPr>
          <w:rFonts w:ascii="仿宋" w:eastAsia="仿宋" w:cs="仿宋"/>
          <w:bCs/>
          <w:color w:val="auto"/>
          <w:sz w:val="24"/>
          <w:szCs w:val="24"/>
        </w:rPr>
      </w:pPr>
      <w:r>
        <w:rPr>
          <w:rFonts w:hint="eastAsia" w:ascii="仿宋" w:eastAsia="仿宋" w:cs="仿宋"/>
          <w:bCs/>
          <w:color w:val="auto"/>
          <w:sz w:val="24"/>
          <w:szCs w:val="24"/>
        </w:rPr>
        <w:t>法律法规或比选申请人须知前附表规定的其他情形。</w:t>
      </w:r>
    </w:p>
    <w:p>
      <w:pPr>
        <w:adjustRightInd w:val="0"/>
        <w:spacing w:line="530" w:lineRule="exact"/>
        <w:ind w:firstLine="480" w:firstLineChars="200"/>
        <w:jc w:val="left"/>
        <w:rPr>
          <w:rFonts w:ascii="仿宋" w:eastAsia="仿宋" w:cs="仿宋"/>
          <w:bCs/>
          <w:color w:val="auto"/>
          <w:sz w:val="24"/>
          <w:szCs w:val="24"/>
        </w:rPr>
      </w:pPr>
    </w:p>
    <w:p>
      <w:pPr>
        <w:adjustRightInd w:val="0"/>
        <w:spacing w:line="530" w:lineRule="exact"/>
        <w:ind w:firstLine="480" w:firstLineChars="200"/>
        <w:jc w:val="left"/>
        <w:rPr>
          <w:rFonts w:ascii="仿宋" w:eastAsia="仿宋" w:cs="仿宋"/>
          <w:bCs/>
          <w:color w:val="auto"/>
          <w:sz w:val="24"/>
          <w:szCs w:val="24"/>
        </w:rPr>
      </w:pPr>
      <w:r>
        <w:rPr>
          <w:rFonts w:hint="eastAsia" w:ascii="仿宋" w:eastAsia="仿宋" w:cs="仿宋"/>
          <w:bCs/>
          <w:color w:val="auto"/>
          <w:sz w:val="24"/>
          <w:szCs w:val="24"/>
        </w:rPr>
        <w:t>比选申请人名称：      （盖章）</w:t>
      </w:r>
    </w:p>
    <w:p>
      <w:pPr>
        <w:adjustRightInd w:val="0"/>
        <w:spacing w:line="530" w:lineRule="exact"/>
        <w:ind w:firstLine="480" w:firstLineChars="200"/>
        <w:jc w:val="left"/>
        <w:rPr>
          <w:rFonts w:ascii="仿宋" w:eastAsia="仿宋" w:cs="仿宋"/>
          <w:bCs/>
          <w:color w:val="auto"/>
          <w:sz w:val="24"/>
          <w:szCs w:val="24"/>
        </w:rPr>
      </w:pPr>
      <w:r>
        <w:rPr>
          <w:rFonts w:hint="eastAsia" w:ascii="仿宋" w:eastAsia="仿宋" w:cs="仿宋"/>
          <w:color w:val="auto"/>
          <w:sz w:val="24"/>
          <w:szCs w:val="24"/>
        </w:rPr>
        <w:t>法定代表人或授权代表（签字）</w:t>
      </w:r>
      <w:r>
        <w:rPr>
          <w:rFonts w:hint="eastAsia" w:ascii="仿宋" w:eastAsia="仿宋" w:cs="仿宋"/>
          <w:bCs/>
          <w:color w:val="auto"/>
          <w:sz w:val="24"/>
          <w:szCs w:val="24"/>
        </w:rPr>
        <w:t>：</w:t>
      </w:r>
    </w:p>
    <w:p>
      <w:pPr>
        <w:spacing w:line="530" w:lineRule="exact"/>
        <w:ind w:firstLine="480" w:firstLineChars="200"/>
        <w:rPr>
          <w:rFonts w:ascii="仿宋" w:eastAsia="仿宋" w:cs="仿宋"/>
          <w:bCs/>
          <w:color w:val="auto"/>
          <w:sz w:val="24"/>
          <w:szCs w:val="24"/>
        </w:rPr>
      </w:pPr>
      <w:r>
        <w:rPr>
          <w:rFonts w:hint="eastAsia" w:ascii="仿宋" w:eastAsia="仿宋" w:cs="仿宋"/>
          <w:bCs/>
          <w:color w:val="auto"/>
          <w:sz w:val="24"/>
          <w:szCs w:val="24"/>
        </w:rPr>
        <w:t>日期:</w:t>
      </w:r>
      <w:bookmarkStart w:id="362" w:name="_Toc217446088"/>
    </w:p>
    <w:p>
      <w:pPr>
        <w:adjustRightInd w:val="0"/>
        <w:spacing w:line="530" w:lineRule="exact"/>
        <w:jc w:val="left"/>
        <w:rPr>
          <w:rFonts w:ascii="仿宋" w:eastAsia="仿宋" w:cs="仿宋"/>
          <w:bCs/>
          <w:color w:val="auto"/>
          <w:sz w:val="24"/>
          <w:szCs w:val="24"/>
        </w:rPr>
      </w:pPr>
    </w:p>
    <w:p>
      <w:pPr>
        <w:adjustRightInd w:val="0"/>
        <w:spacing w:line="530" w:lineRule="exact"/>
        <w:jc w:val="left"/>
        <w:rPr>
          <w:color w:val="auto"/>
        </w:rPr>
      </w:pPr>
      <w:r>
        <w:rPr>
          <w:rFonts w:hint="eastAsia" w:ascii="仿宋" w:eastAsia="仿宋" w:cs="仿宋"/>
          <w:bCs/>
          <w:color w:val="auto"/>
          <w:sz w:val="24"/>
          <w:szCs w:val="24"/>
        </w:rPr>
        <w:t>本页后附</w:t>
      </w:r>
      <w:r>
        <w:rPr>
          <w:rFonts w:hint="eastAsia" w:ascii="仿宋" w:eastAsia="仿宋" w:cs="仿宋"/>
          <w:bCs/>
          <w:color w:val="auto"/>
          <w:sz w:val="24"/>
          <w:szCs w:val="24"/>
          <w:lang w:val="zh-CN"/>
        </w:rPr>
        <w:t>“信用中国”网站、“中国政府采购网”网站</w:t>
      </w:r>
      <w:r>
        <w:rPr>
          <w:rFonts w:hint="eastAsia" w:ascii="仿宋" w:eastAsia="仿宋" w:cs="仿宋"/>
          <w:bCs/>
          <w:color w:val="auto"/>
          <w:sz w:val="24"/>
          <w:szCs w:val="24"/>
        </w:rPr>
        <w:t>信用记录</w:t>
      </w:r>
      <w:r>
        <w:rPr>
          <w:rFonts w:hint="eastAsia" w:ascii="仿宋" w:eastAsia="仿宋" w:cs="仿宋"/>
          <w:bCs/>
          <w:color w:val="auto"/>
          <w:sz w:val="24"/>
          <w:szCs w:val="24"/>
          <w:lang w:val="zh-CN"/>
        </w:rPr>
        <w:t>截图。</w:t>
      </w:r>
      <w:r>
        <w:rPr>
          <w:color w:val="auto"/>
        </w:rPr>
        <w:br w:type="page"/>
      </w:r>
    </w:p>
    <w:p>
      <w:pPr>
        <w:pStyle w:val="4"/>
        <w:spacing w:line="400" w:lineRule="exact"/>
        <w:jc w:val="center"/>
        <w:rPr>
          <w:rFonts w:ascii="仿宋" w:eastAsia="仿宋"/>
          <w:bCs w:val="0"/>
          <w:color w:val="auto"/>
          <w:szCs w:val="28"/>
        </w:rPr>
      </w:pPr>
      <w:r>
        <w:rPr>
          <w:rFonts w:hint="eastAsia" w:ascii="仿宋" w:eastAsia="仿宋"/>
          <w:bCs w:val="0"/>
          <w:color w:val="auto"/>
          <w:szCs w:val="28"/>
        </w:rPr>
        <w:t>五、比选申请人基本情况表</w:t>
      </w:r>
      <w:bookmarkEnd w:id="362"/>
    </w:p>
    <w:p>
      <w:pPr>
        <w:autoSpaceDE w:val="0"/>
        <w:autoSpaceDN w:val="0"/>
        <w:adjustRightInd w:val="0"/>
        <w:spacing w:before="120" w:beforeLines="50" w:after="120" w:afterLines="50" w:line="400" w:lineRule="exact"/>
        <w:jc w:val="center"/>
        <w:rPr>
          <w:rFonts w:ascii="仿宋" w:eastAsia="仿宋"/>
          <w:color w:val="auto"/>
          <w:sz w:val="20"/>
        </w:rPr>
      </w:pPr>
    </w:p>
    <w:tbl>
      <w:tblPr>
        <w:tblStyle w:val="32"/>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1073"/>
        <w:gridCol w:w="1087"/>
        <w:gridCol w:w="1362"/>
        <w:gridCol w:w="1432"/>
        <w:gridCol w:w="126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90"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比选申请人名称</w:t>
            </w:r>
          </w:p>
        </w:tc>
        <w:tc>
          <w:tcPr>
            <w:tcW w:w="7376" w:type="dxa"/>
            <w:gridSpan w:val="6"/>
            <w:vAlign w:val="center"/>
          </w:tcPr>
          <w:p>
            <w:pPr>
              <w:autoSpaceDE w:val="0"/>
              <w:autoSpaceDN w:val="0"/>
              <w:adjustRightInd w:val="0"/>
              <w:spacing w:line="400" w:lineRule="exact"/>
              <w:jc w:val="center"/>
              <w:rPr>
                <w:rFonts w:asci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90"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注册地址</w:t>
            </w:r>
          </w:p>
        </w:tc>
        <w:tc>
          <w:tcPr>
            <w:tcW w:w="3522" w:type="dxa"/>
            <w:gridSpan w:val="3"/>
            <w:vAlign w:val="center"/>
          </w:tcPr>
          <w:p>
            <w:pPr>
              <w:autoSpaceDE w:val="0"/>
              <w:autoSpaceDN w:val="0"/>
              <w:adjustRightInd w:val="0"/>
              <w:spacing w:line="400" w:lineRule="exact"/>
              <w:jc w:val="center"/>
              <w:rPr>
                <w:rFonts w:ascii="仿宋" w:eastAsia="仿宋"/>
                <w:color w:val="auto"/>
                <w:sz w:val="24"/>
                <w:szCs w:val="24"/>
              </w:rPr>
            </w:pPr>
          </w:p>
        </w:tc>
        <w:tc>
          <w:tcPr>
            <w:tcW w:w="1432"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邮政编码</w:t>
            </w:r>
          </w:p>
        </w:tc>
        <w:tc>
          <w:tcPr>
            <w:tcW w:w="2422" w:type="dxa"/>
            <w:gridSpan w:val="2"/>
            <w:vAlign w:val="center"/>
          </w:tcPr>
          <w:p>
            <w:pPr>
              <w:autoSpaceDE w:val="0"/>
              <w:autoSpaceDN w:val="0"/>
              <w:adjustRightInd w:val="0"/>
              <w:spacing w:line="400" w:lineRule="exact"/>
              <w:jc w:val="center"/>
              <w:rPr>
                <w:rFonts w:asci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90" w:type="dxa"/>
            <w:vMerge w:val="restart"/>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联系方式</w:t>
            </w:r>
          </w:p>
        </w:tc>
        <w:tc>
          <w:tcPr>
            <w:tcW w:w="1073"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联系人</w:t>
            </w:r>
          </w:p>
        </w:tc>
        <w:tc>
          <w:tcPr>
            <w:tcW w:w="2449" w:type="dxa"/>
            <w:gridSpan w:val="2"/>
            <w:vAlign w:val="center"/>
          </w:tcPr>
          <w:p>
            <w:pPr>
              <w:autoSpaceDE w:val="0"/>
              <w:autoSpaceDN w:val="0"/>
              <w:adjustRightInd w:val="0"/>
              <w:spacing w:line="400" w:lineRule="exact"/>
              <w:jc w:val="center"/>
              <w:rPr>
                <w:rFonts w:ascii="仿宋" w:eastAsia="仿宋"/>
                <w:color w:val="auto"/>
                <w:sz w:val="24"/>
                <w:szCs w:val="24"/>
              </w:rPr>
            </w:pPr>
          </w:p>
        </w:tc>
        <w:tc>
          <w:tcPr>
            <w:tcW w:w="1432"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电话</w:t>
            </w:r>
          </w:p>
        </w:tc>
        <w:tc>
          <w:tcPr>
            <w:tcW w:w="2422" w:type="dxa"/>
            <w:gridSpan w:val="2"/>
            <w:vAlign w:val="center"/>
          </w:tcPr>
          <w:p>
            <w:pPr>
              <w:autoSpaceDE w:val="0"/>
              <w:autoSpaceDN w:val="0"/>
              <w:adjustRightInd w:val="0"/>
              <w:spacing w:line="400" w:lineRule="exact"/>
              <w:jc w:val="center"/>
              <w:rPr>
                <w:rFonts w:asci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90" w:type="dxa"/>
            <w:vMerge w:val="continue"/>
            <w:vAlign w:val="center"/>
          </w:tcPr>
          <w:p>
            <w:pPr>
              <w:rPr>
                <w:color w:val="auto"/>
              </w:rPr>
            </w:pPr>
          </w:p>
        </w:tc>
        <w:tc>
          <w:tcPr>
            <w:tcW w:w="1073"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传真</w:t>
            </w:r>
          </w:p>
        </w:tc>
        <w:tc>
          <w:tcPr>
            <w:tcW w:w="2449" w:type="dxa"/>
            <w:gridSpan w:val="2"/>
            <w:vAlign w:val="center"/>
          </w:tcPr>
          <w:p>
            <w:pPr>
              <w:autoSpaceDE w:val="0"/>
              <w:autoSpaceDN w:val="0"/>
              <w:adjustRightInd w:val="0"/>
              <w:spacing w:line="400" w:lineRule="exact"/>
              <w:jc w:val="center"/>
              <w:rPr>
                <w:rFonts w:ascii="仿宋" w:eastAsia="仿宋"/>
                <w:color w:val="auto"/>
                <w:sz w:val="24"/>
                <w:szCs w:val="24"/>
              </w:rPr>
            </w:pPr>
          </w:p>
        </w:tc>
        <w:tc>
          <w:tcPr>
            <w:tcW w:w="1432"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邮件</w:t>
            </w:r>
          </w:p>
        </w:tc>
        <w:tc>
          <w:tcPr>
            <w:tcW w:w="2422" w:type="dxa"/>
            <w:gridSpan w:val="2"/>
            <w:vAlign w:val="center"/>
          </w:tcPr>
          <w:p>
            <w:pPr>
              <w:autoSpaceDE w:val="0"/>
              <w:autoSpaceDN w:val="0"/>
              <w:adjustRightInd w:val="0"/>
              <w:spacing w:line="400" w:lineRule="exact"/>
              <w:jc w:val="center"/>
              <w:rPr>
                <w:rFonts w:asci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90"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法定代表人</w:t>
            </w:r>
          </w:p>
        </w:tc>
        <w:tc>
          <w:tcPr>
            <w:tcW w:w="1073"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姓名</w:t>
            </w:r>
          </w:p>
        </w:tc>
        <w:tc>
          <w:tcPr>
            <w:tcW w:w="1087" w:type="dxa"/>
            <w:vAlign w:val="center"/>
          </w:tcPr>
          <w:p>
            <w:pPr>
              <w:autoSpaceDE w:val="0"/>
              <w:autoSpaceDN w:val="0"/>
              <w:adjustRightInd w:val="0"/>
              <w:spacing w:line="400" w:lineRule="exact"/>
              <w:jc w:val="center"/>
              <w:rPr>
                <w:rFonts w:ascii="仿宋" w:eastAsia="仿宋"/>
                <w:color w:val="auto"/>
                <w:sz w:val="24"/>
                <w:szCs w:val="24"/>
              </w:rPr>
            </w:pPr>
          </w:p>
        </w:tc>
        <w:tc>
          <w:tcPr>
            <w:tcW w:w="1362"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技术职称</w:t>
            </w:r>
          </w:p>
        </w:tc>
        <w:tc>
          <w:tcPr>
            <w:tcW w:w="1432" w:type="dxa"/>
            <w:vAlign w:val="center"/>
          </w:tcPr>
          <w:p>
            <w:pPr>
              <w:autoSpaceDE w:val="0"/>
              <w:autoSpaceDN w:val="0"/>
              <w:adjustRightInd w:val="0"/>
              <w:spacing w:line="400" w:lineRule="exact"/>
              <w:jc w:val="center"/>
              <w:rPr>
                <w:rFonts w:ascii="仿宋" w:eastAsia="仿宋"/>
                <w:color w:val="auto"/>
                <w:sz w:val="24"/>
                <w:szCs w:val="24"/>
              </w:rPr>
            </w:pPr>
          </w:p>
        </w:tc>
        <w:tc>
          <w:tcPr>
            <w:tcW w:w="1265"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电话</w:t>
            </w:r>
          </w:p>
        </w:tc>
        <w:tc>
          <w:tcPr>
            <w:tcW w:w="1157" w:type="dxa"/>
            <w:vAlign w:val="center"/>
          </w:tcPr>
          <w:p>
            <w:pPr>
              <w:autoSpaceDE w:val="0"/>
              <w:autoSpaceDN w:val="0"/>
              <w:adjustRightInd w:val="0"/>
              <w:spacing w:line="400" w:lineRule="exact"/>
              <w:jc w:val="center"/>
              <w:rPr>
                <w:rFonts w:ascii="仿宋" w:eastAsia="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90"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成立时间</w:t>
            </w:r>
          </w:p>
        </w:tc>
        <w:tc>
          <w:tcPr>
            <w:tcW w:w="2160" w:type="dxa"/>
            <w:gridSpan w:val="2"/>
            <w:vAlign w:val="center"/>
          </w:tcPr>
          <w:p>
            <w:pPr>
              <w:autoSpaceDE w:val="0"/>
              <w:autoSpaceDN w:val="0"/>
              <w:adjustRightInd w:val="0"/>
              <w:spacing w:line="400" w:lineRule="exact"/>
              <w:jc w:val="center"/>
              <w:rPr>
                <w:rFonts w:ascii="仿宋" w:eastAsia="仿宋"/>
                <w:color w:val="auto"/>
                <w:sz w:val="24"/>
                <w:szCs w:val="24"/>
              </w:rPr>
            </w:pPr>
          </w:p>
        </w:tc>
        <w:tc>
          <w:tcPr>
            <w:tcW w:w="2794" w:type="dxa"/>
            <w:gridSpan w:val="2"/>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从业律师人数</w:t>
            </w:r>
          </w:p>
        </w:tc>
        <w:tc>
          <w:tcPr>
            <w:tcW w:w="2422" w:type="dxa"/>
            <w:gridSpan w:val="2"/>
            <w:vAlign w:val="center"/>
          </w:tcPr>
          <w:p>
            <w:pPr>
              <w:autoSpaceDE w:val="0"/>
              <w:autoSpaceDN w:val="0"/>
              <w:adjustRightInd w:val="0"/>
              <w:spacing w:line="400" w:lineRule="exact"/>
              <w:ind w:firstLine="1680" w:firstLineChars="700"/>
              <w:rPr>
                <w:rFonts w:asci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90"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信用代码</w:t>
            </w:r>
          </w:p>
        </w:tc>
        <w:tc>
          <w:tcPr>
            <w:tcW w:w="2160" w:type="dxa"/>
            <w:gridSpan w:val="2"/>
            <w:vAlign w:val="center"/>
          </w:tcPr>
          <w:p>
            <w:pPr>
              <w:autoSpaceDE w:val="0"/>
              <w:autoSpaceDN w:val="0"/>
              <w:adjustRightInd w:val="0"/>
              <w:spacing w:line="400" w:lineRule="exact"/>
              <w:jc w:val="center"/>
              <w:rPr>
                <w:rFonts w:ascii="仿宋" w:eastAsia="仿宋"/>
                <w:color w:val="auto"/>
                <w:sz w:val="24"/>
                <w:szCs w:val="24"/>
              </w:rPr>
            </w:pPr>
          </w:p>
        </w:tc>
        <w:tc>
          <w:tcPr>
            <w:tcW w:w="1362"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开户银行</w:t>
            </w:r>
          </w:p>
        </w:tc>
        <w:tc>
          <w:tcPr>
            <w:tcW w:w="3854" w:type="dxa"/>
            <w:gridSpan w:val="3"/>
            <w:vAlign w:val="center"/>
          </w:tcPr>
          <w:p>
            <w:pPr>
              <w:autoSpaceDE w:val="0"/>
              <w:autoSpaceDN w:val="0"/>
              <w:adjustRightInd w:val="0"/>
              <w:spacing w:line="400" w:lineRule="exact"/>
              <w:jc w:val="center"/>
              <w:rPr>
                <w:rFonts w:ascii="仿宋" w:eastAsia="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90"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注册资金</w:t>
            </w:r>
          </w:p>
        </w:tc>
        <w:tc>
          <w:tcPr>
            <w:tcW w:w="2160" w:type="dxa"/>
            <w:gridSpan w:val="2"/>
            <w:vAlign w:val="center"/>
          </w:tcPr>
          <w:p>
            <w:pPr>
              <w:autoSpaceDE w:val="0"/>
              <w:autoSpaceDN w:val="0"/>
              <w:adjustRightInd w:val="0"/>
              <w:spacing w:line="400" w:lineRule="exact"/>
              <w:jc w:val="center"/>
              <w:rPr>
                <w:rFonts w:ascii="仿宋" w:eastAsia="仿宋"/>
                <w:color w:val="auto"/>
                <w:sz w:val="24"/>
                <w:szCs w:val="24"/>
              </w:rPr>
            </w:pPr>
          </w:p>
        </w:tc>
        <w:tc>
          <w:tcPr>
            <w:tcW w:w="1362"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银行账号</w:t>
            </w:r>
          </w:p>
        </w:tc>
        <w:tc>
          <w:tcPr>
            <w:tcW w:w="3854" w:type="dxa"/>
            <w:gridSpan w:val="3"/>
            <w:vAlign w:val="center"/>
          </w:tcPr>
          <w:p>
            <w:pPr>
              <w:autoSpaceDE w:val="0"/>
              <w:autoSpaceDN w:val="0"/>
              <w:adjustRightInd w:val="0"/>
              <w:spacing w:line="400" w:lineRule="exact"/>
              <w:jc w:val="center"/>
              <w:rPr>
                <w:rFonts w:ascii="仿宋" w:eastAsia="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790" w:type="dxa"/>
            <w:vAlign w:val="center"/>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经营范围</w:t>
            </w:r>
          </w:p>
        </w:tc>
        <w:tc>
          <w:tcPr>
            <w:tcW w:w="7376" w:type="dxa"/>
            <w:gridSpan w:val="6"/>
            <w:vAlign w:val="center"/>
          </w:tcPr>
          <w:p>
            <w:pPr>
              <w:autoSpaceDE w:val="0"/>
              <w:autoSpaceDN w:val="0"/>
              <w:adjustRightInd w:val="0"/>
              <w:spacing w:line="400" w:lineRule="exact"/>
              <w:rPr>
                <w:rFonts w:ascii="仿宋" w:eastAsia="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90" w:type="dxa"/>
          </w:tcPr>
          <w:p>
            <w:pPr>
              <w:spacing w:line="400" w:lineRule="exact"/>
              <w:jc w:val="center"/>
              <w:rPr>
                <w:rFonts w:ascii="仿宋" w:eastAsia="仿宋"/>
                <w:color w:val="auto"/>
                <w:sz w:val="24"/>
                <w:szCs w:val="24"/>
              </w:rPr>
            </w:pPr>
            <w:r>
              <w:rPr>
                <w:rFonts w:hint="eastAsia" w:ascii="仿宋" w:eastAsia="仿宋"/>
                <w:color w:val="auto"/>
                <w:sz w:val="24"/>
                <w:szCs w:val="24"/>
              </w:rPr>
              <w:t>比选申请人</w:t>
            </w:r>
          </w:p>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关联企业情况</w:t>
            </w:r>
          </w:p>
        </w:tc>
        <w:tc>
          <w:tcPr>
            <w:tcW w:w="7376" w:type="dxa"/>
            <w:gridSpan w:val="6"/>
          </w:tcPr>
          <w:p>
            <w:pPr>
              <w:autoSpaceDE w:val="0"/>
              <w:autoSpaceDN w:val="0"/>
              <w:adjustRightInd w:val="0"/>
              <w:spacing w:line="400" w:lineRule="exact"/>
              <w:jc w:val="center"/>
              <w:rPr>
                <w:rFonts w:asci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90" w:type="dxa"/>
          </w:tcPr>
          <w:p>
            <w:pPr>
              <w:autoSpaceDE w:val="0"/>
              <w:autoSpaceDN w:val="0"/>
              <w:adjustRightInd w:val="0"/>
              <w:spacing w:line="400" w:lineRule="exact"/>
              <w:jc w:val="center"/>
              <w:rPr>
                <w:rFonts w:ascii="仿宋" w:eastAsia="仿宋"/>
                <w:color w:val="auto"/>
                <w:sz w:val="24"/>
                <w:szCs w:val="24"/>
              </w:rPr>
            </w:pPr>
            <w:r>
              <w:rPr>
                <w:rFonts w:hint="eastAsia" w:ascii="仿宋" w:eastAsia="仿宋"/>
                <w:color w:val="auto"/>
                <w:sz w:val="24"/>
                <w:szCs w:val="24"/>
              </w:rPr>
              <w:t>备注</w:t>
            </w:r>
          </w:p>
        </w:tc>
        <w:tc>
          <w:tcPr>
            <w:tcW w:w="7376" w:type="dxa"/>
            <w:gridSpan w:val="6"/>
          </w:tcPr>
          <w:p>
            <w:pPr>
              <w:autoSpaceDE w:val="0"/>
              <w:autoSpaceDN w:val="0"/>
              <w:adjustRightInd w:val="0"/>
              <w:spacing w:line="400" w:lineRule="exact"/>
              <w:jc w:val="center"/>
              <w:rPr>
                <w:rFonts w:ascii="仿宋" w:eastAsia="仿宋"/>
                <w:color w:val="auto"/>
                <w:sz w:val="24"/>
                <w:szCs w:val="24"/>
              </w:rPr>
            </w:pPr>
          </w:p>
        </w:tc>
      </w:tr>
    </w:tbl>
    <w:p>
      <w:pPr>
        <w:spacing w:after="120" w:line="360" w:lineRule="auto"/>
        <w:ind w:firstLine="480" w:firstLineChars="200"/>
        <w:rPr>
          <w:rFonts w:ascii="仿宋" w:eastAsia="仿宋" w:cs="仿宋"/>
          <w:color w:val="auto"/>
          <w:sz w:val="24"/>
          <w:szCs w:val="24"/>
        </w:rPr>
      </w:pPr>
    </w:p>
    <w:p>
      <w:pPr>
        <w:adjustRightInd w:val="0"/>
        <w:spacing w:after="120" w:line="360" w:lineRule="auto"/>
        <w:ind w:firstLine="480" w:firstLineChars="200"/>
        <w:jc w:val="left"/>
        <w:rPr>
          <w:rFonts w:ascii="仿宋" w:eastAsia="仿宋" w:cs="仿宋"/>
          <w:bCs/>
          <w:color w:val="auto"/>
          <w:sz w:val="24"/>
          <w:szCs w:val="24"/>
        </w:rPr>
      </w:pPr>
      <w:r>
        <w:rPr>
          <w:rFonts w:hint="eastAsia" w:ascii="仿宋" w:eastAsia="仿宋" w:cs="仿宋"/>
          <w:bCs/>
          <w:color w:val="auto"/>
          <w:sz w:val="24"/>
          <w:szCs w:val="24"/>
        </w:rPr>
        <w:t>比选申请人名称：        （盖章）</w:t>
      </w:r>
    </w:p>
    <w:p>
      <w:pPr>
        <w:adjustRightInd w:val="0"/>
        <w:spacing w:after="120" w:line="360" w:lineRule="auto"/>
        <w:ind w:firstLine="480" w:firstLineChars="200"/>
        <w:jc w:val="left"/>
        <w:rPr>
          <w:rFonts w:ascii="仿宋" w:eastAsia="仿宋" w:cs="仿宋"/>
          <w:bCs/>
          <w:color w:val="auto"/>
          <w:sz w:val="24"/>
          <w:szCs w:val="24"/>
        </w:rPr>
      </w:pPr>
      <w:r>
        <w:rPr>
          <w:rFonts w:hint="eastAsia" w:ascii="仿宋" w:eastAsia="仿宋" w:cs="仿宋"/>
          <w:color w:val="auto"/>
          <w:sz w:val="24"/>
          <w:szCs w:val="24"/>
        </w:rPr>
        <w:t>法定代表人或授权代表（签字）</w:t>
      </w:r>
      <w:r>
        <w:rPr>
          <w:rFonts w:hint="eastAsia" w:ascii="仿宋" w:eastAsia="仿宋" w:cs="仿宋"/>
          <w:bCs/>
          <w:color w:val="auto"/>
          <w:sz w:val="24"/>
          <w:szCs w:val="24"/>
        </w:rPr>
        <w:t>：</w:t>
      </w:r>
    </w:p>
    <w:p>
      <w:pPr>
        <w:adjustRightInd w:val="0"/>
        <w:spacing w:after="120" w:line="360" w:lineRule="auto"/>
        <w:ind w:firstLine="480" w:firstLineChars="200"/>
        <w:jc w:val="left"/>
        <w:rPr>
          <w:rFonts w:ascii="仿宋" w:eastAsia="仿宋" w:cs="仿宋"/>
          <w:b/>
          <w:color w:val="auto"/>
          <w:sz w:val="24"/>
          <w:szCs w:val="24"/>
        </w:rPr>
      </w:pPr>
      <w:r>
        <w:rPr>
          <w:rFonts w:hint="eastAsia" w:ascii="仿宋" w:eastAsia="仿宋" w:cs="仿宋"/>
          <w:bCs/>
          <w:color w:val="auto"/>
          <w:sz w:val="24"/>
          <w:szCs w:val="24"/>
        </w:rPr>
        <w:t>日期：</w:t>
      </w:r>
    </w:p>
    <w:p>
      <w:pPr>
        <w:rPr>
          <w:rFonts w:ascii="仿宋" w:eastAsia="仿宋" w:cs="仿宋"/>
          <w:color w:val="auto"/>
          <w:sz w:val="24"/>
          <w:szCs w:val="24"/>
        </w:rPr>
      </w:pPr>
    </w:p>
    <w:p>
      <w:pPr>
        <w:rPr>
          <w:rFonts w:ascii="仿宋" w:eastAsia="仿宋" w:cs="仿宋"/>
          <w:color w:val="auto"/>
          <w:sz w:val="24"/>
          <w:szCs w:val="24"/>
        </w:rPr>
      </w:pPr>
      <w:r>
        <w:rPr>
          <w:rFonts w:hint="eastAsia" w:ascii="仿宋" w:eastAsia="仿宋" w:cs="仿宋"/>
          <w:bCs/>
          <w:color w:val="auto"/>
          <w:sz w:val="24"/>
          <w:szCs w:val="24"/>
          <w:lang w:val="en-US"/>
        </w:rPr>
        <w:t>本</w:t>
      </w:r>
      <w:r>
        <w:rPr>
          <w:rFonts w:hint="eastAsia" w:ascii="仿宋" w:eastAsia="仿宋" w:cs="仿宋"/>
          <w:bCs/>
          <w:color w:val="auto"/>
          <w:sz w:val="24"/>
          <w:szCs w:val="24"/>
          <w:lang w:val="en-US" w:eastAsia="zh-CN"/>
        </w:rPr>
        <w:t>页</w:t>
      </w:r>
      <w:r>
        <w:rPr>
          <w:rFonts w:hint="eastAsia" w:ascii="仿宋" w:eastAsia="仿宋" w:cs="仿宋"/>
          <w:bCs/>
          <w:color w:val="auto"/>
          <w:sz w:val="24"/>
          <w:szCs w:val="24"/>
          <w:lang w:val="en-US"/>
        </w:rPr>
        <w:t>后附</w:t>
      </w:r>
      <w:r>
        <w:rPr>
          <w:rFonts w:hint="eastAsia" w:ascii="仿宋" w:eastAsia="仿宋" w:cs="仿宋"/>
          <w:bCs/>
          <w:color w:val="auto"/>
          <w:sz w:val="24"/>
          <w:szCs w:val="24"/>
          <w:lang w:val="en-US" w:eastAsia="zh-CN"/>
        </w:rPr>
        <w:t>：</w:t>
      </w:r>
      <w:r>
        <w:rPr>
          <w:rFonts w:hint="eastAsia" w:ascii="仿宋" w:eastAsia="仿宋" w:cs="仿宋"/>
          <w:bCs/>
          <w:color w:val="auto"/>
          <w:sz w:val="24"/>
          <w:szCs w:val="24"/>
          <w:lang w:val="en-US"/>
        </w:rPr>
        <w:t>合法有效律师事务所执业许可证，以及国家法律法规要求的相关从业资质(提供年检合格的律师事务所执业许可证复印件)</w:t>
      </w:r>
      <w:r>
        <w:rPr>
          <w:rFonts w:hint="eastAsia" w:ascii="仿宋" w:eastAsia="仿宋" w:cs="仿宋"/>
          <w:bCs/>
          <w:color w:val="auto"/>
          <w:sz w:val="24"/>
          <w:szCs w:val="24"/>
          <w:lang w:val="en-US" w:eastAsia="zh-CN"/>
        </w:rPr>
        <w:t>。</w:t>
      </w:r>
      <w:r>
        <w:rPr>
          <w:rFonts w:hint="eastAsia" w:ascii="仿宋" w:eastAsia="仿宋" w:cs="仿宋"/>
          <w:bCs/>
          <w:color w:val="auto"/>
          <w:sz w:val="24"/>
          <w:szCs w:val="24"/>
          <w:lang w:val="en-US"/>
        </w:rPr>
        <w:t>如分所或分支机构参加比选的，分所或分支机构须获得总所唯一授权，须提供总所的业务许可证复印件(可以一次授权或总体授权，同一个事务所的多家分支机构不可同时参加比选)</w:t>
      </w:r>
      <w:r>
        <w:rPr>
          <w:rFonts w:hint="eastAsia" w:ascii="仿宋" w:eastAsia="仿宋" w:cs="仿宋"/>
          <w:bCs/>
          <w:color w:val="auto"/>
          <w:sz w:val="24"/>
          <w:szCs w:val="24"/>
          <w:lang w:val="en-US" w:eastAsia="zh-CN"/>
        </w:rPr>
        <w:t>。</w:t>
      </w:r>
      <w:r>
        <w:rPr>
          <w:rFonts w:hint="eastAsia" w:ascii="仿宋" w:eastAsia="仿宋" w:cs="仿宋"/>
          <w:bCs/>
          <w:color w:val="auto"/>
          <w:sz w:val="24"/>
          <w:szCs w:val="24"/>
        </w:rPr>
        <w:br w:type="page"/>
      </w:r>
    </w:p>
    <w:p>
      <w:pPr>
        <w:pStyle w:val="4"/>
        <w:spacing w:line="400" w:lineRule="exact"/>
        <w:jc w:val="center"/>
        <w:rPr>
          <w:rFonts w:ascii="仿宋" w:eastAsia="仿宋" w:cs="Arial"/>
          <w:bCs w:val="0"/>
          <w:color w:val="auto"/>
          <w:szCs w:val="28"/>
        </w:rPr>
      </w:pPr>
      <w:bookmarkStart w:id="363" w:name="_Toc217446089"/>
      <w:r>
        <w:rPr>
          <w:rFonts w:ascii="仿宋" w:eastAsia="仿宋" w:cs="Arial"/>
          <w:bCs w:val="0"/>
          <w:color w:val="auto"/>
          <w:szCs w:val="28"/>
        </w:rPr>
        <w:t>六</w:t>
      </w:r>
      <w:r>
        <w:rPr>
          <w:rFonts w:hint="eastAsia" w:ascii="仿宋" w:eastAsia="仿宋" w:cs="Arial"/>
          <w:bCs w:val="0"/>
          <w:color w:val="auto"/>
          <w:szCs w:val="28"/>
        </w:rPr>
        <w:t>、比选申请人类似项目业绩一览表</w:t>
      </w:r>
      <w:bookmarkEnd w:id="363"/>
    </w:p>
    <w:p>
      <w:pPr>
        <w:spacing w:line="400" w:lineRule="exact"/>
        <w:rPr>
          <w:rFonts w:ascii="仿宋" w:eastAsia="仿宋" w:cs="Arial"/>
          <w:color w:val="auto"/>
          <w:sz w:val="24"/>
        </w:rPr>
      </w:pPr>
    </w:p>
    <w:tbl>
      <w:tblPr>
        <w:tblStyle w:val="32"/>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07"/>
        <w:gridCol w:w="1812"/>
        <w:gridCol w:w="1659"/>
        <w:gridCol w:w="1460"/>
        <w:gridCol w:w="1583"/>
        <w:gridCol w:w="16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tcBorders>
              <w:top w:val="single" w:color="auto" w:sz="4" w:space="0"/>
            </w:tcBorders>
            <w:vAlign w:val="center"/>
          </w:tcPr>
          <w:p>
            <w:pPr>
              <w:spacing w:line="400" w:lineRule="exact"/>
              <w:ind w:firstLine="120" w:firstLineChars="50"/>
              <w:rPr>
                <w:rFonts w:ascii="仿宋" w:eastAsia="仿宋" w:cs="Arial"/>
                <w:b/>
                <w:color w:val="auto"/>
                <w:sz w:val="24"/>
                <w:szCs w:val="24"/>
              </w:rPr>
            </w:pPr>
            <w:r>
              <w:rPr>
                <w:rFonts w:hint="eastAsia" w:ascii="仿宋" w:eastAsia="仿宋" w:cs="Arial"/>
                <w:b/>
                <w:color w:val="auto"/>
                <w:sz w:val="24"/>
                <w:szCs w:val="24"/>
              </w:rPr>
              <w:t>年份</w:t>
            </w:r>
          </w:p>
        </w:tc>
        <w:tc>
          <w:tcPr>
            <w:tcW w:w="1812" w:type="dxa"/>
            <w:vAlign w:val="center"/>
          </w:tcPr>
          <w:p>
            <w:pPr>
              <w:spacing w:line="400" w:lineRule="exact"/>
              <w:jc w:val="center"/>
              <w:rPr>
                <w:rFonts w:ascii="仿宋" w:eastAsia="仿宋" w:cs="Arial"/>
                <w:b/>
                <w:color w:val="auto"/>
                <w:sz w:val="24"/>
                <w:szCs w:val="24"/>
              </w:rPr>
            </w:pPr>
            <w:r>
              <w:rPr>
                <w:rFonts w:hint="eastAsia" w:ascii="仿宋" w:eastAsia="仿宋" w:cs="Arial"/>
                <w:b/>
                <w:color w:val="auto"/>
                <w:sz w:val="24"/>
                <w:szCs w:val="24"/>
              </w:rPr>
              <w:t>法院级别</w:t>
            </w:r>
          </w:p>
        </w:tc>
        <w:tc>
          <w:tcPr>
            <w:tcW w:w="1659" w:type="dxa"/>
            <w:vAlign w:val="center"/>
          </w:tcPr>
          <w:p>
            <w:pPr>
              <w:spacing w:line="400" w:lineRule="exact"/>
              <w:jc w:val="center"/>
              <w:rPr>
                <w:rFonts w:ascii="仿宋" w:eastAsia="仿宋" w:cs="Arial"/>
                <w:b/>
                <w:color w:val="auto"/>
                <w:sz w:val="24"/>
                <w:szCs w:val="24"/>
              </w:rPr>
            </w:pPr>
            <w:r>
              <w:rPr>
                <w:rFonts w:hint="eastAsia" w:ascii="仿宋" w:eastAsia="仿宋" w:cs="Arial"/>
                <w:b/>
                <w:color w:val="auto"/>
                <w:sz w:val="24"/>
                <w:szCs w:val="24"/>
              </w:rPr>
              <w:t>案件类别</w:t>
            </w:r>
          </w:p>
        </w:tc>
        <w:tc>
          <w:tcPr>
            <w:tcW w:w="1460" w:type="dxa"/>
            <w:vAlign w:val="center"/>
          </w:tcPr>
          <w:p>
            <w:pPr>
              <w:spacing w:line="400" w:lineRule="exact"/>
              <w:jc w:val="center"/>
              <w:rPr>
                <w:rFonts w:ascii="仿宋" w:eastAsia="仿宋" w:cs="Arial"/>
                <w:b/>
                <w:color w:val="auto"/>
                <w:sz w:val="24"/>
                <w:szCs w:val="24"/>
              </w:rPr>
            </w:pPr>
            <w:r>
              <w:rPr>
                <w:rFonts w:hint="eastAsia" w:ascii="仿宋" w:eastAsia="仿宋" w:cs="Arial"/>
                <w:b/>
                <w:color w:val="auto"/>
                <w:sz w:val="24"/>
                <w:szCs w:val="24"/>
              </w:rPr>
              <w:t>判决时间</w:t>
            </w:r>
          </w:p>
        </w:tc>
        <w:tc>
          <w:tcPr>
            <w:tcW w:w="1583" w:type="dxa"/>
            <w:vAlign w:val="center"/>
          </w:tcPr>
          <w:p>
            <w:pPr>
              <w:spacing w:line="400" w:lineRule="exact"/>
              <w:ind w:firstLine="120" w:firstLineChars="50"/>
              <w:rPr>
                <w:rFonts w:ascii="仿宋" w:eastAsia="仿宋" w:cs="Arial"/>
                <w:b/>
                <w:color w:val="auto"/>
                <w:sz w:val="24"/>
                <w:szCs w:val="24"/>
              </w:rPr>
            </w:pPr>
            <w:r>
              <w:rPr>
                <w:rFonts w:hint="eastAsia" w:ascii="仿宋" w:eastAsia="仿宋" w:cs="Arial"/>
                <w:b/>
                <w:color w:val="auto"/>
                <w:sz w:val="24"/>
                <w:szCs w:val="24"/>
              </w:rPr>
              <w:t>是否胜诉</w:t>
            </w:r>
          </w:p>
        </w:tc>
        <w:tc>
          <w:tcPr>
            <w:tcW w:w="1640" w:type="dxa"/>
            <w:tcBorders>
              <w:left w:val="single" w:color="auto" w:sz="4" w:space="0"/>
            </w:tcBorders>
            <w:vAlign w:val="center"/>
          </w:tcPr>
          <w:p>
            <w:pPr>
              <w:spacing w:line="400" w:lineRule="exact"/>
              <w:rPr>
                <w:rFonts w:ascii="仿宋" w:eastAsia="仿宋" w:cs="Arial"/>
                <w:b/>
                <w:color w:val="auto"/>
                <w:sz w:val="24"/>
                <w:szCs w:val="24"/>
              </w:rPr>
            </w:pPr>
            <w:r>
              <w:rPr>
                <w:rFonts w:hint="eastAsia" w:ascii="仿宋" w:eastAsia="仿宋" w:cs="Arial"/>
                <w:b/>
                <w:color w:val="auto"/>
                <w:sz w:val="24"/>
                <w:szCs w:val="24"/>
              </w:rPr>
              <w:t xml:space="preserve">  证明材料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vAlign w:val="center"/>
          </w:tcPr>
          <w:p>
            <w:pPr>
              <w:spacing w:line="400" w:lineRule="exact"/>
              <w:jc w:val="center"/>
              <w:rPr>
                <w:rFonts w:ascii="仿宋" w:eastAsia="仿宋" w:cs="Arial"/>
                <w:color w:val="auto"/>
                <w:sz w:val="24"/>
                <w:szCs w:val="24"/>
              </w:rPr>
            </w:pPr>
          </w:p>
        </w:tc>
        <w:tc>
          <w:tcPr>
            <w:tcW w:w="1659" w:type="dxa"/>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vAlign w:val="center"/>
          </w:tcPr>
          <w:p>
            <w:pPr>
              <w:spacing w:line="400" w:lineRule="exact"/>
              <w:jc w:val="center"/>
              <w:rPr>
                <w:rFonts w:ascii="仿宋" w:eastAsia="仿宋" w:cs="Arial"/>
                <w:color w:val="auto"/>
                <w:sz w:val="24"/>
                <w:szCs w:val="24"/>
              </w:rPr>
            </w:pPr>
          </w:p>
        </w:tc>
        <w:tc>
          <w:tcPr>
            <w:tcW w:w="1659" w:type="dxa"/>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vAlign w:val="center"/>
          </w:tcPr>
          <w:p>
            <w:pPr>
              <w:spacing w:line="400" w:lineRule="exact"/>
              <w:jc w:val="center"/>
              <w:rPr>
                <w:rFonts w:ascii="仿宋" w:eastAsia="仿宋" w:cs="Arial"/>
                <w:color w:val="auto"/>
                <w:sz w:val="24"/>
                <w:szCs w:val="24"/>
              </w:rPr>
            </w:pPr>
          </w:p>
        </w:tc>
        <w:tc>
          <w:tcPr>
            <w:tcW w:w="1659" w:type="dxa"/>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tcBorders>
              <w:right w:val="single" w:color="auto" w:sz="4" w:space="0"/>
            </w:tcBorders>
            <w:vAlign w:val="center"/>
          </w:tcPr>
          <w:p>
            <w:pPr>
              <w:spacing w:line="400" w:lineRule="exact"/>
              <w:jc w:val="center"/>
              <w:rPr>
                <w:rFonts w:ascii="仿宋" w:eastAsia="仿宋" w:cs="Arial"/>
                <w:color w:val="auto"/>
                <w:sz w:val="24"/>
                <w:szCs w:val="24"/>
              </w:rPr>
            </w:pPr>
          </w:p>
        </w:tc>
        <w:tc>
          <w:tcPr>
            <w:tcW w:w="1659" w:type="dxa"/>
            <w:tcBorders>
              <w:left w:val="single" w:color="auto" w:sz="4" w:space="0"/>
            </w:tcBorders>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tcBorders>
              <w:right w:val="single" w:color="auto" w:sz="4" w:space="0"/>
            </w:tcBorders>
            <w:vAlign w:val="center"/>
          </w:tcPr>
          <w:p>
            <w:pPr>
              <w:spacing w:line="400" w:lineRule="exact"/>
              <w:jc w:val="center"/>
              <w:rPr>
                <w:rFonts w:ascii="仿宋" w:eastAsia="仿宋" w:cs="Arial"/>
                <w:color w:val="auto"/>
                <w:sz w:val="24"/>
                <w:szCs w:val="24"/>
              </w:rPr>
            </w:pPr>
          </w:p>
        </w:tc>
        <w:tc>
          <w:tcPr>
            <w:tcW w:w="1659" w:type="dxa"/>
            <w:tcBorders>
              <w:left w:val="single" w:color="auto" w:sz="4" w:space="0"/>
            </w:tcBorders>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tcBorders>
              <w:right w:val="single" w:color="auto" w:sz="4" w:space="0"/>
            </w:tcBorders>
            <w:vAlign w:val="center"/>
          </w:tcPr>
          <w:p>
            <w:pPr>
              <w:spacing w:line="400" w:lineRule="exact"/>
              <w:jc w:val="center"/>
              <w:rPr>
                <w:rFonts w:ascii="仿宋" w:eastAsia="仿宋" w:cs="Arial"/>
                <w:color w:val="auto"/>
                <w:sz w:val="24"/>
                <w:szCs w:val="24"/>
              </w:rPr>
            </w:pPr>
          </w:p>
        </w:tc>
        <w:tc>
          <w:tcPr>
            <w:tcW w:w="1659" w:type="dxa"/>
            <w:tcBorders>
              <w:left w:val="single" w:color="auto" w:sz="4" w:space="0"/>
            </w:tcBorders>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tcBorders>
              <w:right w:val="single" w:color="auto" w:sz="4" w:space="0"/>
            </w:tcBorders>
            <w:vAlign w:val="center"/>
          </w:tcPr>
          <w:p>
            <w:pPr>
              <w:spacing w:line="400" w:lineRule="exact"/>
              <w:jc w:val="center"/>
              <w:rPr>
                <w:rFonts w:ascii="仿宋" w:eastAsia="仿宋" w:cs="Arial"/>
                <w:color w:val="auto"/>
                <w:sz w:val="24"/>
                <w:szCs w:val="24"/>
              </w:rPr>
            </w:pPr>
          </w:p>
        </w:tc>
        <w:tc>
          <w:tcPr>
            <w:tcW w:w="1659" w:type="dxa"/>
            <w:tcBorders>
              <w:left w:val="single" w:color="auto" w:sz="4" w:space="0"/>
            </w:tcBorders>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tcBorders>
              <w:right w:val="single" w:color="auto" w:sz="4" w:space="0"/>
            </w:tcBorders>
            <w:vAlign w:val="center"/>
          </w:tcPr>
          <w:p>
            <w:pPr>
              <w:spacing w:line="400" w:lineRule="exact"/>
              <w:jc w:val="center"/>
              <w:rPr>
                <w:rFonts w:ascii="仿宋" w:eastAsia="仿宋" w:cs="Arial"/>
                <w:color w:val="auto"/>
                <w:sz w:val="24"/>
                <w:szCs w:val="24"/>
              </w:rPr>
            </w:pPr>
          </w:p>
        </w:tc>
        <w:tc>
          <w:tcPr>
            <w:tcW w:w="1659" w:type="dxa"/>
            <w:tcBorders>
              <w:left w:val="single" w:color="auto" w:sz="4" w:space="0"/>
            </w:tcBorders>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p>
            <w:pPr>
              <w:spacing w:line="400" w:lineRule="exact"/>
              <w:jc w:val="center"/>
              <w:rPr>
                <w:rFonts w:ascii="仿宋" w:eastAsia="仿宋" w:cs="Arial"/>
                <w:color w:val="auto"/>
                <w:sz w:val="24"/>
                <w:szCs w:val="24"/>
              </w:rPr>
            </w:pPr>
          </w:p>
        </w:tc>
        <w:tc>
          <w:tcPr>
            <w:tcW w:w="1812" w:type="dxa"/>
            <w:tcBorders>
              <w:right w:val="single" w:color="auto" w:sz="4" w:space="0"/>
            </w:tcBorders>
            <w:vAlign w:val="center"/>
          </w:tcPr>
          <w:p>
            <w:pPr>
              <w:spacing w:line="400" w:lineRule="exact"/>
              <w:jc w:val="center"/>
              <w:rPr>
                <w:rFonts w:ascii="仿宋" w:eastAsia="仿宋" w:cs="Arial"/>
                <w:color w:val="auto"/>
                <w:sz w:val="24"/>
                <w:szCs w:val="24"/>
              </w:rPr>
            </w:pPr>
          </w:p>
        </w:tc>
        <w:tc>
          <w:tcPr>
            <w:tcW w:w="1659" w:type="dxa"/>
            <w:tcBorders>
              <w:left w:val="single" w:color="auto" w:sz="4" w:space="0"/>
            </w:tcBorders>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tcBorders>
              <w:right w:val="single" w:color="auto" w:sz="4" w:space="0"/>
            </w:tcBorders>
            <w:vAlign w:val="center"/>
          </w:tcPr>
          <w:p>
            <w:pPr>
              <w:spacing w:line="400" w:lineRule="exact"/>
              <w:jc w:val="center"/>
              <w:rPr>
                <w:rFonts w:ascii="仿宋" w:eastAsia="仿宋" w:cs="Arial"/>
                <w:color w:val="auto"/>
                <w:sz w:val="24"/>
                <w:szCs w:val="24"/>
              </w:rPr>
            </w:pPr>
          </w:p>
        </w:tc>
        <w:tc>
          <w:tcPr>
            <w:tcW w:w="1659" w:type="dxa"/>
            <w:tcBorders>
              <w:left w:val="single" w:color="auto" w:sz="4" w:space="0"/>
            </w:tcBorders>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tcBorders>
              <w:right w:val="single" w:color="auto" w:sz="4" w:space="0"/>
            </w:tcBorders>
            <w:vAlign w:val="center"/>
          </w:tcPr>
          <w:p>
            <w:pPr>
              <w:spacing w:line="400" w:lineRule="exact"/>
              <w:jc w:val="center"/>
              <w:rPr>
                <w:rFonts w:ascii="仿宋" w:eastAsia="仿宋" w:cs="Arial"/>
                <w:color w:val="auto"/>
                <w:sz w:val="24"/>
                <w:szCs w:val="24"/>
              </w:rPr>
            </w:pPr>
          </w:p>
        </w:tc>
        <w:tc>
          <w:tcPr>
            <w:tcW w:w="1659" w:type="dxa"/>
            <w:tcBorders>
              <w:left w:val="single" w:color="auto" w:sz="4" w:space="0"/>
            </w:tcBorders>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907" w:type="dxa"/>
            <w:vAlign w:val="center"/>
          </w:tcPr>
          <w:p>
            <w:pPr>
              <w:spacing w:line="400" w:lineRule="exact"/>
              <w:jc w:val="center"/>
              <w:rPr>
                <w:rFonts w:ascii="仿宋" w:eastAsia="仿宋" w:cs="Arial"/>
                <w:color w:val="auto"/>
                <w:sz w:val="24"/>
                <w:szCs w:val="24"/>
              </w:rPr>
            </w:pPr>
          </w:p>
        </w:tc>
        <w:tc>
          <w:tcPr>
            <w:tcW w:w="1812" w:type="dxa"/>
            <w:tcBorders>
              <w:right w:val="single" w:color="auto" w:sz="4" w:space="0"/>
            </w:tcBorders>
            <w:vAlign w:val="center"/>
          </w:tcPr>
          <w:p>
            <w:pPr>
              <w:spacing w:line="400" w:lineRule="exact"/>
              <w:jc w:val="center"/>
              <w:rPr>
                <w:rFonts w:ascii="仿宋" w:eastAsia="仿宋" w:cs="Arial"/>
                <w:color w:val="auto"/>
                <w:sz w:val="24"/>
                <w:szCs w:val="24"/>
              </w:rPr>
            </w:pPr>
          </w:p>
        </w:tc>
        <w:tc>
          <w:tcPr>
            <w:tcW w:w="1659" w:type="dxa"/>
            <w:tcBorders>
              <w:left w:val="single" w:color="auto" w:sz="4" w:space="0"/>
            </w:tcBorders>
            <w:vAlign w:val="center"/>
          </w:tcPr>
          <w:p>
            <w:pPr>
              <w:spacing w:line="400" w:lineRule="exact"/>
              <w:jc w:val="center"/>
              <w:rPr>
                <w:rFonts w:ascii="仿宋" w:eastAsia="仿宋" w:cs="Arial"/>
                <w:color w:val="auto"/>
                <w:sz w:val="24"/>
                <w:szCs w:val="24"/>
              </w:rPr>
            </w:pPr>
          </w:p>
        </w:tc>
        <w:tc>
          <w:tcPr>
            <w:tcW w:w="1460" w:type="dxa"/>
            <w:vAlign w:val="center"/>
          </w:tcPr>
          <w:p>
            <w:pPr>
              <w:spacing w:line="400" w:lineRule="exact"/>
              <w:jc w:val="center"/>
              <w:rPr>
                <w:rFonts w:ascii="仿宋" w:eastAsia="仿宋" w:cs="Arial"/>
                <w:color w:val="auto"/>
                <w:sz w:val="24"/>
                <w:szCs w:val="24"/>
              </w:rPr>
            </w:pPr>
          </w:p>
        </w:tc>
        <w:tc>
          <w:tcPr>
            <w:tcW w:w="1583" w:type="dxa"/>
            <w:vAlign w:val="center"/>
          </w:tcPr>
          <w:p>
            <w:pPr>
              <w:spacing w:line="400" w:lineRule="exact"/>
              <w:jc w:val="center"/>
              <w:rPr>
                <w:rFonts w:ascii="仿宋" w:eastAsia="仿宋" w:cs="Arial"/>
                <w:color w:val="auto"/>
                <w:sz w:val="24"/>
                <w:szCs w:val="24"/>
              </w:rPr>
            </w:pPr>
          </w:p>
        </w:tc>
        <w:tc>
          <w:tcPr>
            <w:tcW w:w="1640" w:type="dxa"/>
            <w:tcBorders>
              <w:left w:val="single" w:color="auto" w:sz="4" w:space="0"/>
            </w:tcBorders>
            <w:vAlign w:val="center"/>
          </w:tcPr>
          <w:p>
            <w:pPr>
              <w:spacing w:line="400" w:lineRule="exact"/>
              <w:jc w:val="center"/>
              <w:rPr>
                <w:rFonts w:ascii="仿宋" w:eastAsia="仿宋" w:cs="Arial"/>
                <w:color w:val="auto"/>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仿宋" w:eastAsia="仿宋" w:cs="仿宋"/>
          <w:color w:val="auto"/>
          <w:sz w:val="24"/>
          <w:szCs w:val="24"/>
        </w:rPr>
      </w:pPr>
      <w:r>
        <w:rPr>
          <w:rFonts w:hint="eastAsia" w:ascii="仿宋" w:eastAsia="仿宋" w:cs="仿宋"/>
          <w:color w:val="auto"/>
          <w:sz w:val="24"/>
          <w:szCs w:val="24"/>
        </w:rPr>
        <w:t>注：1、比选申请人以上业绩需提供有关书面证明材料。</w:t>
      </w: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960" w:firstLineChars="400"/>
        <w:rPr>
          <w:rFonts w:ascii="仿宋" w:eastAsia="仿宋" w:cs="仿宋"/>
          <w:color w:val="auto"/>
          <w:sz w:val="24"/>
          <w:szCs w:val="24"/>
        </w:rPr>
      </w:pPr>
      <w:r>
        <w:rPr>
          <w:rFonts w:hint="eastAsia" w:ascii="仿宋" w:eastAsia="仿宋" w:cs="仿宋"/>
          <w:color w:val="auto"/>
          <w:sz w:val="24"/>
          <w:szCs w:val="24"/>
        </w:rPr>
        <w:t>2、案件代理经历可提供以下证明材料（任选其一即可）：a.人民法院判决书复印件;b.人民法院裁定书复印件;c.调解书复印件;d.中国裁判文书网的裁判文书截图。以上证明材料须体现该项目负责人作为委托代理人的内容。</w:t>
      </w:r>
    </w:p>
    <w:p>
      <w:pPr>
        <w:spacing w:after="120" w:line="360" w:lineRule="auto"/>
        <w:ind w:left="360" w:firstLine="480" w:firstLineChars="200"/>
        <w:jc w:val="center"/>
        <w:rPr>
          <w:rFonts w:ascii="仿宋" w:eastAsia="仿宋" w:cs="仿宋"/>
          <w:color w:val="auto"/>
          <w:sz w:val="24"/>
          <w:szCs w:val="24"/>
        </w:rPr>
      </w:pPr>
    </w:p>
    <w:p>
      <w:pPr>
        <w:adjustRightInd w:val="0"/>
        <w:spacing w:after="120" w:line="360" w:lineRule="auto"/>
        <w:ind w:firstLine="480" w:firstLineChars="200"/>
        <w:jc w:val="left"/>
        <w:rPr>
          <w:rFonts w:ascii="仿宋" w:eastAsia="仿宋" w:cs="仿宋"/>
          <w:color w:val="auto"/>
          <w:sz w:val="24"/>
          <w:szCs w:val="24"/>
        </w:rPr>
      </w:pPr>
      <w:r>
        <w:rPr>
          <w:rFonts w:hint="eastAsia" w:ascii="仿宋" w:eastAsia="仿宋" w:cs="仿宋"/>
          <w:color w:val="auto"/>
          <w:sz w:val="24"/>
          <w:szCs w:val="24"/>
        </w:rPr>
        <w:t>比选申请人名称：         （盖章）</w:t>
      </w:r>
    </w:p>
    <w:p>
      <w:pPr>
        <w:adjustRightInd w:val="0"/>
        <w:spacing w:after="120" w:line="360" w:lineRule="auto"/>
        <w:ind w:firstLine="480" w:firstLineChars="200"/>
        <w:jc w:val="left"/>
        <w:rPr>
          <w:rFonts w:ascii="仿宋" w:eastAsia="仿宋" w:cs="仿宋"/>
          <w:bCs/>
          <w:color w:val="auto"/>
          <w:sz w:val="24"/>
          <w:szCs w:val="24"/>
        </w:rPr>
      </w:pPr>
      <w:r>
        <w:rPr>
          <w:rFonts w:hint="eastAsia" w:ascii="仿宋" w:eastAsia="仿宋" w:cs="仿宋"/>
          <w:color w:val="auto"/>
          <w:sz w:val="24"/>
          <w:szCs w:val="24"/>
        </w:rPr>
        <w:t>法定代表人或授权代表（签字）</w:t>
      </w:r>
      <w:r>
        <w:rPr>
          <w:rFonts w:hint="eastAsia" w:ascii="仿宋" w:eastAsia="仿宋" w:cs="仿宋"/>
          <w:bCs/>
          <w:color w:val="auto"/>
          <w:sz w:val="24"/>
          <w:szCs w:val="24"/>
        </w:rPr>
        <w:t>：</w:t>
      </w:r>
    </w:p>
    <w:p>
      <w:pPr>
        <w:spacing w:after="120" w:line="360" w:lineRule="auto"/>
        <w:ind w:firstLine="480" w:firstLineChars="200"/>
        <w:rPr>
          <w:rFonts w:ascii="仿宋" w:eastAsia="仿宋" w:cs="仿宋"/>
          <w:b/>
          <w:color w:val="auto"/>
          <w:sz w:val="24"/>
          <w:szCs w:val="24"/>
        </w:rPr>
      </w:pPr>
      <w:r>
        <w:rPr>
          <w:rFonts w:hint="eastAsia" w:ascii="仿宋" w:eastAsia="仿宋" w:cs="仿宋"/>
          <w:bCs/>
          <w:color w:val="auto"/>
          <w:sz w:val="24"/>
          <w:szCs w:val="24"/>
        </w:rPr>
        <w:t>日期：</w:t>
      </w:r>
    </w:p>
    <w:p>
      <w:pPr>
        <w:pStyle w:val="4"/>
        <w:spacing w:line="400" w:lineRule="exact"/>
        <w:jc w:val="center"/>
        <w:rPr>
          <w:rFonts w:ascii="仿宋" w:eastAsia="仿宋"/>
          <w:bCs w:val="0"/>
          <w:color w:val="auto"/>
          <w:szCs w:val="28"/>
        </w:rPr>
      </w:pPr>
      <w:bookmarkStart w:id="364" w:name="_Toc217446090"/>
      <w:r>
        <w:rPr>
          <w:rFonts w:ascii="仿宋" w:eastAsia="仿宋"/>
          <w:bCs w:val="0"/>
          <w:color w:val="auto"/>
          <w:szCs w:val="28"/>
        </w:rPr>
        <w:t>七</w:t>
      </w:r>
      <w:r>
        <w:rPr>
          <w:rFonts w:hint="eastAsia" w:ascii="仿宋" w:eastAsia="仿宋"/>
          <w:bCs w:val="0"/>
          <w:color w:val="auto"/>
          <w:szCs w:val="28"/>
        </w:rPr>
        <w:t>、服务</w:t>
      </w:r>
      <w:bookmarkEnd w:id="364"/>
      <w:r>
        <w:rPr>
          <w:rFonts w:hint="eastAsia" w:ascii="仿宋" w:eastAsia="仿宋"/>
          <w:bCs w:val="0"/>
          <w:color w:val="auto"/>
          <w:szCs w:val="28"/>
        </w:rPr>
        <w:t>方案</w:t>
      </w:r>
    </w:p>
    <w:p>
      <w:pPr>
        <w:autoSpaceDE w:val="0"/>
        <w:autoSpaceDN w:val="0"/>
        <w:adjustRightInd w:val="0"/>
        <w:spacing w:line="400" w:lineRule="exact"/>
        <w:jc w:val="center"/>
        <w:rPr>
          <w:rFonts w:ascii="仿宋" w:eastAsia="仿宋"/>
          <w:b/>
          <w:bCs/>
          <w:color w:val="auto"/>
          <w:sz w:val="28"/>
        </w:rPr>
      </w:pPr>
    </w:p>
    <w:p>
      <w:pPr>
        <w:pStyle w:val="63"/>
        <w:ind w:firstLine="480"/>
        <w:rPr>
          <w:rFonts w:ascii="仿宋" w:eastAsia="仿宋" w:cs="仿宋"/>
          <w:color w:val="auto"/>
          <w:szCs w:val="24"/>
        </w:rPr>
      </w:pPr>
      <w:r>
        <w:rPr>
          <w:rFonts w:hint="eastAsia" w:ascii="仿宋" w:eastAsia="仿宋" w:cs="仿宋"/>
          <w:color w:val="auto"/>
          <w:szCs w:val="24"/>
        </w:rPr>
        <w:t>比选申请人自行发挥，格式自拟：</w:t>
      </w:r>
    </w:p>
    <w:p>
      <w:pPr>
        <w:pStyle w:val="63"/>
        <w:ind w:firstLine="480"/>
        <w:rPr>
          <w:rFonts w:ascii="仿宋" w:eastAsia="仿宋" w:cs="仿宋"/>
          <w:color w:val="auto"/>
          <w:szCs w:val="24"/>
        </w:rPr>
      </w:pPr>
      <w:r>
        <w:rPr>
          <w:rFonts w:hint="eastAsia" w:ascii="仿宋" w:eastAsia="仿宋" w:cs="仿宋"/>
          <w:color w:val="auto"/>
          <w:szCs w:val="24"/>
        </w:rPr>
        <w:t>1.此类案件重点、难点阐述；</w:t>
      </w:r>
    </w:p>
    <w:p>
      <w:pPr>
        <w:pStyle w:val="63"/>
        <w:ind w:firstLine="480"/>
        <w:rPr>
          <w:rFonts w:ascii="仿宋" w:eastAsia="仿宋" w:cs="仿宋"/>
          <w:color w:val="auto"/>
          <w:szCs w:val="24"/>
        </w:rPr>
      </w:pPr>
      <w:r>
        <w:rPr>
          <w:rFonts w:hint="eastAsia" w:ascii="仿宋" w:eastAsia="仿宋" w:cs="仿宋"/>
          <w:color w:val="auto"/>
          <w:szCs w:val="24"/>
        </w:rPr>
        <w:t>2.此类案件的关键法律风险点分析；</w:t>
      </w:r>
    </w:p>
    <w:p>
      <w:pPr>
        <w:pStyle w:val="63"/>
        <w:ind w:firstLine="480"/>
        <w:rPr>
          <w:rFonts w:ascii="仿宋" w:eastAsia="仿宋" w:cs="仿宋"/>
          <w:color w:val="auto"/>
          <w:szCs w:val="24"/>
        </w:rPr>
      </w:pPr>
      <w:r>
        <w:rPr>
          <w:rFonts w:hint="eastAsia" w:ascii="仿宋" w:eastAsia="仿宋" w:cs="仿宋"/>
          <w:color w:val="auto"/>
          <w:szCs w:val="24"/>
        </w:rPr>
        <w:t>3.此类案件中可能涉及的相关诉讼焦点、关键证据及关键因素，分析诉讼的突破口。</w:t>
      </w:r>
    </w:p>
    <w:p>
      <w:pPr>
        <w:rPr>
          <w:rFonts w:ascii="仿宋" w:eastAsia="仿宋"/>
          <w:color w:val="auto"/>
          <w:sz w:val="32"/>
          <w:szCs w:val="28"/>
        </w:rPr>
      </w:pPr>
      <w:r>
        <w:rPr>
          <w:rFonts w:hint="eastAsia" w:ascii="仿宋" w:eastAsia="仿宋"/>
          <w:color w:val="auto"/>
          <w:sz w:val="32"/>
          <w:szCs w:val="28"/>
        </w:rPr>
        <w:br w:type="page"/>
      </w:r>
    </w:p>
    <w:p>
      <w:pPr>
        <w:pStyle w:val="4"/>
        <w:spacing w:line="400" w:lineRule="exact"/>
        <w:jc w:val="center"/>
        <w:rPr>
          <w:rFonts w:ascii="仿宋" w:eastAsia="仿宋"/>
          <w:bCs w:val="0"/>
          <w:color w:val="auto"/>
          <w:szCs w:val="28"/>
        </w:rPr>
      </w:pPr>
      <w:bookmarkStart w:id="365" w:name="_Toc217446091"/>
      <w:r>
        <w:rPr>
          <w:rFonts w:hint="eastAsia" w:ascii="仿宋" w:eastAsia="仿宋"/>
          <w:bCs w:val="0"/>
          <w:color w:val="auto"/>
          <w:szCs w:val="28"/>
        </w:rPr>
        <w:t>八、项目人员情况表</w:t>
      </w:r>
      <w:bookmarkEnd w:id="365"/>
    </w:p>
    <w:p>
      <w:pPr>
        <w:spacing w:line="400" w:lineRule="exact"/>
        <w:rPr>
          <w:rFonts w:ascii="仿宋" w:eastAsia="仿宋" w:cs="Arial"/>
          <w:b/>
          <w:bCs/>
          <w:color w:val="auto"/>
          <w:sz w:val="28"/>
        </w:rPr>
      </w:pPr>
    </w:p>
    <w:p>
      <w:pPr>
        <w:pStyle w:val="72"/>
        <w:rPr>
          <w:rFonts w:ascii="仿宋" w:eastAsia="仿宋"/>
          <w:color w:val="auto"/>
        </w:rPr>
      </w:pPr>
      <w:r>
        <w:rPr>
          <w:rFonts w:hint="eastAsia" w:ascii="仿宋" w:eastAsia="仿宋"/>
          <w:color w:val="auto"/>
        </w:rPr>
        <w:t>团队负责人及主要参与人员基本情况（附律师执业证、简介）</w:t>
      </w:r>
    </w:p>
    <w:tbl>
      <w:tblPr>
        <w:tblStyle w:val="32"/>
        <w:tblW w:w="89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3"/>
        <w:gridCol w:w="1706"/>
        <w:gridCol w:w="2266"/>
        <w:gridCol w:w="35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1403" w:type="dxa"/>
            <w:vAlign w:val="center"/>
          </w:tcPr>
          <w:p>
            <w:pPr>
              <w:pStyle w:val="72"/>
              <w:jc w:val="center"/>
              <w:rPr>
                <w:rFonts w:ascii="仿宋" w:eastAsia="仿宋"/>
                <w:color w:val="auto"/>
                <w:sz w:val="21"/>
                <w:szCs w:val="21"/>
              </w:rPr>
            </w:pPr>
            <w:r>
              <w:rPr>
                <w:rFonts w:hint="eastAsia" w:ascii="仿宋" w:eastAsia="仿宋"/>
                <w:color w:val="auto"/>
                <w:sz w:val="21"/>
                <w:szCs w:val="21"/>
              </w:rPr>
              <w:t>姓名</w:t>
            </w:r>
          </w:p>
        </w:tc>
        <w:tc>
          <w:tcPr>
            <w:tcW w:w="1706" w:type="dxa"/>
            <w:vAlign w:val="center"/>
          </w:tcPr>
          <w:p>
            <w:pPr>
              <w:pStyle w:val="72"/>
              <w:jc w:val="center"/>
              <w:rPr>
                <w:rFonts w:ascii="仿宋" w:eastAsia="仿宋"/>
                <w:color w:val="auto"/>
                <w:sz w:val="21"/>
                <w:szCs w:val="21"/>
              </w:rPr>
            </w:pPr>
            <w:r>
              <w:rPr>
                <w:rFonts w:hint="eastAsia" w:ascii="仿宋" w:eastAsia="仿宋"/>
                <w:color w:val="auto"/>
                <w:sz w:val="21"/>
                <w:szCs w:val="21"/>
              </w:rPr>
              <w:t>年龄</w:t>
            </w:r>
          </w:p>
        </w:tc>
        <w:tc>
          <w:tcPr>
            <w:tcW w:w="2266" w:type="dxa"/>
            <w:vAlign w:val="center"/>
          </w:tcPr>
          <w:p>
            <w:pPr>
              <w:pStyle w:val="72"/>
              <w:jc w:val="center"/>
              <w:rPr>
                <w:rFonts w:ascii="仿宋" w:eastAsia="仿宋"/>
                <w:color w:val="auto"/>
                <w:sz w:val="21"/>
                <w:szCs w:val="21"/>
              </w:rPr>
            </w:pPr>
            <w:r>
              <w:rPr>
                <w:rFonts w:hint="eastAsia" w:ascii="仿宋" w:eastAsia="仿宋"/>
                <w:color w:val="auto"/>
                <w:sz w:val="21"/>
                <w:szCs w:val="21"/>
              </w:rPr>
              <w:t>类似工作经验年限</w:t>
            </w:r>
          </w:p>
        </w:tc>
        <w:tc>
          <w:tcPr>
            <w:tcW w:w="3593" w:type="dxa"/>
            <w:vAlign w:val="center"/>
          </w:tcPr>
          <w:p>
            <w:pPr>
              <w:pStyle w:val="72"/>
              <w:jc w:val="center"/>
              <w:rPr>
                <w:rFonts w:ascii="仿宋" w:eastAsia="仿宋"/>
                <w:color w:val="auto"/>
                <w:sz w:val="21"/>
                <w:szCs w:val="21"/>
              </w:rPr>
            </w:pPr>
            <w:r>
              <w:rPr>
                <w:rFonts w:hint="eastAsia" w:ascii="仿宋" w:eastAsia="仿宋"/>
                <w:color w:val="auto"/>
                <w:sz w:val="21"/>
                <w:szCs w:val="21"/>
              </w:rPr>
              <w:t>拟任职务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403" w:type="dxa"/>
            <w:vAlign w:val="center"/>
          </w:tcPr>
          <w:p>
            <w:pPr>
              <w:snapToGrid w:val="0"/>
              <w:spacing w:line="460" w:lineRule="exact"/>
              <w:ind w:right="-57"/>
              <w:rPr>
                <w:color w:val="auto"/>
                <w:sz w:val="24"/>
              </w:rPr>
            </w:pPr>
          </w:p>
        </w:tc>
        <w:tc>
          <w:tcPr>
            <w:tcW w:w="1706" w:type="dxa"/>
            <w:vAlign w:val="center"/>
          </w:tcPr>
          <w:p>
            <w:pPr>
              <w:snapToGrid w:val="0"/>
              <w:spacing w:line="460" w:lineRule="exact"/>
              <w:ind w:left="-57" w:right="-57"/>
              <w:jc w:val="center"/>
              <w:rPr>
                <w:color w:val="auto"/>
                <w:sz w:val="24"/>
              </w:rPr>
            </w:pPr>
          </w:p>
        </w:tc>
        <w:tc>
          <w:tcPr>
            <w:tcW w:w="2266" w:type="dxa"/>
            <w:vAlign w:val="center"/>
          </w:tcPr>
          <w:p>
            <w:pPr>
              <w:snapToGrid w:val="0"/>
              <w:spacing w:line="460" w:lineRule="exact"/>
              <w:ind w:left="-57" w:right="-57"/>
              <w:jc w:val="center"/>
              <w:rPr>
                <w:color w:val="auto"/>
                <w:sz w:val="24"/>
              </w:rPr>
            </w:pPr>
          </w:p>
        </w:tc>
        <w:tc>
          <w:tcPr>
            <w:tcW w:w="3593" w:type="dxa"/>
            <w:vAlign w:val="center"/>
          </w:tcPr>
          <w:p>
            <w:pPr>
              <w:snapToGrid w:val="0"/>
              <w:spacing w:line="460" w:lineRule="exact"/>
              <w:ind w:left="-57" w:right="-57"/>
              <w:jc w:val="center"/>
              <w:rPr>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403" w:type="dxa"/>
            <w:vAlign w:val="center"/>
          </w:tcPr>
          <w:p>
            <w:pPr>
              <w:snapToGrid w:val="0"/>
              <w:spacing w:line="460" w:lineRule="exact"/>
              <w:ind w:right="-57"/>
              <w:rPr>
                <w:color w:val="auto"/>
                <w:sz w:val="24"/>
              </w:rPr>
            </w:pPr>
          </w:p>
        </w:tc>
        <w:tc>
          <w:tcPr>
            <w:tcW w:w="1706" w:type="dxa"/>
            <w:vAlign w:val="center"/>
          </w:tcPr>
          <w:p>
            <w:pPr>
              <w:snapToGrid w:val="0"/>
              <w:spacing w:line="460" w:lineRule="exact"/>
              <w:ind w:left="-57" w:right="-57"/>
              <w:jc w:val="center"/>
              <w:rPr>
                <w:color w:val="auto"/>
                <w:sz w:val="24"/>
              </w:rPr>
            </w:pPr>
          </w:p>
        </w:tc>
        <w:tc>
          <w:tcPr>
            <w:tcW w:w="2266" w:type="dxa"/>
            <w:vAlign w:val="center"/>
          </w:tcPr>
          <w:p>
            <w:pPr>
              <w:snapToGrid w:val="0"/>
              <w:spacing w:line="460" w:lineRule="exact"/>
              <w:ind w:left="-57" w:right="-57"/>
              <w:jc w:val="center"/>
              <w:rPr>
                <w:color w:val="auto"/>
                <w:sz w:val="24"/>
              </w:rPr>
            </w:pPr>
          </w:p>
        </w:tc>
        <w:tc>
          <w:tcPr>
            <w:tcW w:w="3593" w:type="dxa"/>
            <w:vAlign w:val="center"/>
          </w:tcPr>
          <w:p>
            <w:pPr>
              <w:snapToGrid w:val="0"/>
              <w:spacing w:line="460" w:lineRule="exact"/>
              <w:ind w:left="-57" w:right="-57"/>
              <w:jc w:val="center"/>
              <w:rPr>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403" w:type="dxa"/>
            <w:vAlign w:val="center"/>
          </w:tcPr>
          <w:p>
            <w:pPr>
              <w:snapToGrid w:val="0"/>
              <w:spacing w:line="460" w:lineRule="exact"/>
              <w:ind w:right="-57"/>
              <w:rPr>
                <w:color w:val="auto"/>
                <w:sz w:val="24"/>
              </w:rPr>
            </w:pPr>
          </w:p>
        </w:tc>
        <w:tc>
          <w:tcPr>
            <w:tcW w:w="1706" w:type="dxa"/>
            <w:vAlign w:val="center"/>
          </w:tcPr>
          <w:p>
            <w:pPr>
              <w:snapToGrid w:val="0"/>
              <w:spacing w:line="460" w:lineRule="exact"/>
              <w:ind w:left="-57" w:right="-57"/>
              <w:jc w:val="center"/>
              <w:rPr>
                <w:color w:val="auto"/>
                <w:sz w:val="24"/>
              </w:rPr>
            </w:pPr>
          </w:p>
        </w:tc>
        <w:tc>
          <w:tcPr>
            <w:tcW w:w="2266" w:type="dxa"/>
            <w:vAlign w:val="center"/>
          </w:tcPr>
          <w:p>
            <w:pPr>
              <w:snapToGrid w:val="0"/>
              <w:spacing w:line="460" w:lineRule="exact"/>
              <w:ind w:left="-57" w:right="-57"/>
              <w:jc w:val="center"/>
              <w:rPr>
                <w:color w:val="auto"/>
                <w:sz w:val="24"/>
              </w:rPr>
            </w:pPr>
          </w:p>
        </w:tc>
        <w:tc>
          <w:tcPr>
            <w:tcW w:w="3593" w:type="dxa"/>
            <w:vAlign w:val="center"/>
          </w:tcPr>
          <w:p>
            <w:pPr>
              <w:snapToGrid w:val="0"/>
              <w:spacing w:line="460" w:lineRule="exact"/>
              <w:ind w:left="-57" w:right="-57"/>
              <w:jc w:val="center"/>
              <w:rPr>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403" w:type="dxa"/>
            <w:vAlign w:val="center"/>
          </w:tcPr>
          <w:p>
            <w:pPr>
              <w:snapToGrid w:val="0"/>
              <w:spacing w:line="460" w:lineRule="exact"/>
              <w:ind w:right="-57"/>
              <w:rPr>
                <w:color w:val="auto"/>
                <w:sz w:val="24"/>
              </w:rPr>
            </w:pPr>
          </w:p>
        </w:tc>
        <w:tc>
          <w:tcPr>
            <w:tcW w:w="1706" w:type="dxa"/>
            <w:vAlign w:val="center"/>
          </w:tcPr>
          <w:p>
            <w:pPr>
              <w:snapToGrid w:val="0"/>
              <w:spacing w:line="460" w:lineRule="exact"/>
              <w:ind w:left="-57" w:right="-57"/>
              <w:jc w:val="center"/>
              <w:rPr>
                <w:color w:val="auto"/>
                <w:sz w:val="24"/>
              </w:rPr>
            </w:pPr>
          </w:p>
        </w:tc>
        <w:tc>
          <w:tcPr>
            <w:tcW w:w="2266" w:type="dxa"/>
            <w:vAlign w:val="center"/>
          </w:tcPr>
          <w:p>
            <w:pPr>
              <w:snapToGrid w:val="0"/>
              <w:spacing w:line="460" w:lineRule="exact"/>
              <w:ind w:left="-57" w:right="-57"/>
              <w:jc w:val="center"/>
              <w:rPr>
                <w:color w:val="auto"/>
                <w:sz w:val="24"/>
              </w:rPr>
            </w:pPr>
          </w:p>
        </w:tc>
        <w:tc>
          <w:tcPr>
            <w:tcW w:w="3593" w:type="dxa"/>
            <w:vAlign w:val="center"/>
          </w:tcPr>
          <w:p>
            <w:pPr>
              <w:snapToGrid w:val="0"/>
              <w:spacing w:line="460" w:lineRule="exact"/>
              <w:ind w:left="-57" w:right="-57"/>
              <w:jc w:val="center"/>
              <w:rPr>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403" w:type="dxa"/>
            <w:vAlign w:val="center"/>
          </w:tcPr>
          <w:p>
            <w:pPr>
              <w:snapToGrid w:val="0"/>
              <w:spacing w:line="460" w:lineRule="exact"/>
              <w:ind w:right="-57"/>
              <w:rPr>
                <w:color w:val="auto"/>
                <w:sz w:val="24"/>
              </w:rPr>
            </w:pPr>
          </w:p>
        </w:tc>
        <w:tc>
          <w:tcPr>
            <w:tcW w:w="1706" w:type="dxa"/>
            <w:vAlign w:val="center"/>
          </w:tcPr>
          <w:p>
            <w:pPr>
              <w:snapToGrid w:val="0"/>
              <w:spacing w:line="460" w:lineRule="exact"/>
              <w:ind w:left="-57" w:right="-57"/>
              <w:jc w:val="center"/>
              <w:rPr>
                <w:color w:val="auto"/>
                <w:sz w:val="24"/>
              </w:rPr>
            </w:pPr>
          </w:p>
        </w:tc>
        <w:tc>
          <w:tcPr>
            <w:tcW w:w="2266" w:type="dxa"/>
            <w:vAlign w:val="center"/>
          </w:tcPr>
          <w:p>
            <w:pPr>
              <w:snapToGrid w:val="0"/>
              <w:spacing w:line="460" w:lineRule="exact"/>
              <w:ind w:left="-57" w:right="-57"/>
              <w:jc w:val="center"/>
              <w:rPr>
                <w:color w:val="auto"/>
                <w:sz w:val="24"/>
              </w:rPr>
            </w:pPr>
          </w:p>
        </w:tc>
        <w:tc>
          <w:tcPr>
            <w:tcW w:w="3593" w:type="dxa"/>
            <w:vAlign w:val="center"/>
          </w:tcPr>
          <w:p>
            <w:pPr>
              <w:snapToGrid w:val="0"/>
              <w:spacing w:line="460" w:lineRule="exact"/>
              <w:ind w:left="-57" w:right="-57"/>
              <w:jc w:val="center"/>
              <w:rPr>
                <w:color w:val="auto"/>
                <w:sz w:val="24"/>
              </w:rPr>
            </w:pPr>
          </w:p>
        </w:tc>
      </w:tr>
    </w:tbl>
    <w:p>
      <w:pPr>
        <w:spacing w:line="400" w:lineRule="exact"/>
        <w:jc w:val="center"/>
        <w:rPr>
          <w:rFonts w:ascii="仿宋" w:eastAsia="仿宋" w:cs="Arial"/>
          <w:b/>
          <w:bCs/>
          <w:color w:val="auto"/>
          <w:sz w:val="28"/>
        </w:rPr>
      </w:pPr>
    </w:p>
    <w:p>
      <w:pPr>
        <w:spacing w:after="120" w:line="360" w:lineRule="auto"/>
        <w:ind w:firstLine="482" w:firstLineChars="200"/>
        <w:jc w:val="center"/>
        <w:rPr>
          <w:rFonts w:ascii="仿宋" w:eastAsia="仿宋" w:cs="仿宋"/>
          <w:b/>
          <w:bCs/>
          <w:color w:val="auto"/>
          <w:sz w:val="24"/>
          <w:szCs w:val="24"/>
        </w:rPr>
      </w:pPr>
    </w:p>
    <w:p>
      <w:pPr>
        <w:adjustRightInd w:val="0"/>
        <w:spacing w:after="120" w:line="360" w:lineRule="auto"/>
        <w:ind w:firstLine="480" w:firstLineChars="200"/>
        <w:jc w:val="left"/>
        <w:rPr>
          <w:rFonts w:ascii="仿宋" w:eastAsia="仿宋" w:cs="仿宋"/>
          <w:bCs/>
          <w:color w:val="auto"/>
          <w:sz w:val="24"/>
          <w:szCs w:val="24"/>
        </w:rPr>
      </w:pPr>
      <w:r>
        <w:rPr>
          <w:rFonts w:hint="eastAsia" w:ascii="仿宋" w:eastAsia="仿宋" w:cs="仿宋"/>
          <w:bCs/>
          <w:color w:val="auto"/>
          <w:sz w:val="24"/>
          <w:szCs w:val="24"/>
        </w:rPr>
        <w:t>比选申请人名称：        （盖章）</w:t>
      </w:r>
    </w:p>
    <w:p>
      <w:pPr>
        <w:adjustRightInd w:val="0"/>
        <w:spacing w:after="120" w:line="360" w:lineRule="auto"/>
        <w:ind w:firstLine="480" w:firstLineChars="200"/>
        <w:jc w:val="left"/>
        <w:rPr>
          <w:rFonts w:ascii="仿宋" w:eastAsia="仿宋" w:cs="仿宋"/>
          <w:bCs/>
          <w:color w:val="auto"/>
          <w:sz w:val="24"/>
          <w:szCs w:val="24"/>
        </w:rPr>
      </w:pPr>
      <w:r>
        <w:rPr>
          <w:rFonts w:hint="eastAsia" w:ascii="仿宋" w:eastAsia="仿宋" w:cs="仿宋"/>
          <w:color w:val="auto"/>
          <w:sz w:val="24"/>
          <w:szCs w:val="24"/>
        </w:rPr>
        <w:t>法定代表人或授权代表（签字）</w:t>
      </w:r>
      <w:r>
        <w:rPr>
          <w:rFonts w:hint="eastAsia" w:ascii="仿宋" w:eastAsia="仿宋" w:cs="仿宋"/>
          <w:bCs/>
          <w:color w:val="auto"/>
          <w:sz w:val="24"/>
          <w:szCs w:val="24"/>
        </w:rPr>
        <w:t>：</w:t>
      </w:r>
    </w:p>
    <w:p>
      <w:pPr>
        <w:adjustRightInd w:val="0"/>
        <w:spacing w:after="120" w:line="360" w:lineRule="auto"/>
        <w:ind w:firstLine="480" w:firstLineChars="200"/>
        <w:jc w:val="left"/>
        <w:rPr>
          <w:rFonts w:ascii="仿宋" w:eastAsia="仿宋" w:cs="仿宋"/>
          <w:bCs/>
          <w:color w:val="auto"/>
          <w:sz w:val="24"/>
          <w:szCs w:val="24"/>
        </w:rPr>
      </w:pPr>
      <w:r>
        <w:rPr>
          <w:rFonts w:hint="eastAsia" w:ascii="仿宋" w:eastAsia="仿宋" w:cs="仿宋"/>
          <w:bCs/>
          <w:color w:val="auto"/>
          <w:sz w:val="24"/>
          <w:szCs w:val="24"/>
        </w:rPr>
        <w:t>日期：</w:t>
      </w:r>
    </w:p>
    <w:p>
      <w:pPr>
        <w:spacing w:line="400" w:lineRule="exact"/>
        <w:ind w:firstLine="480" w:firstLineChars="200"/>
        <w:rPr>
          <w:rFonts w:ascii="仿宋" w:eastAsia="仿宋"/>
          <w:color w:val="auto"/>
          <w:sz w:val="24"/>
        </w:rPr>
      </w:pPr>
    </w:p>
    <w:p>
      <w:pPr>
        <w:pStyle w:val="63"/>
        <w:spacing w:line="360" w:lineRule="auto"/>
        <w:ind w:firstLine="0" w:firstLineChars="0"/>
        <w:rPr>
          <w:rFonts w:ascii="仿宋" w:eastAsia="仿宋" w:cs="仿宋"/>
          <w:color w:val="auto"/>
          <w:szCs w:val="24"/>
        </w:rPr>
      </w:pPr>
    </w:p>
    <w:p>
      <w:pPr>
        <w:widowControl/>
        <w:jc w:val="left"/>
        <w:rPr>
          <w:rFonts w:ascii="仿宋" w:eastAsia="仿宋"/>
          <w:b/>
          <w:color w:val="auto"/>
          <w:sz w:val="32"/>
          <w:szCs w:val="28"/>
        </w:rPr>
      </w:pPr>
      <w:r>
        <w:rPr>
          <w:rFonts w:ascii="仿宋" w:eastAsia="仿宋"/>
          <w:bCs/>
          <w:color w:val="auto"/>
          <w:szCs w:val="28"/>
        </w:rPr>
        <w:br w:type="page"/>
      </w:r>
    </w:p>
    <w:p>
      <w:pPr>
        <w:pStyle w:val="4"/>
        <w:spacing w:line="400" w:lineRule="exact"/>
        <w:jc w:val="center"/>
        <w:rPr>
          <w:rFonts w:ascii="仿宋" w:eastAsia="仿宋"/>
          <w:bCs w:val="0"/>
          <w:color w:val="auto"/>
          <w:szCs w:val="28"/>
        </w:rPr>
      </w:pPr>
      <w:r>
        <w:rPr>
          <w:rFonts w:hint="eastAsia" w:ascii="仿宋" w:eastAsia="仿宋"/>
          <w:bCs w:val="0"/>
          <w:color w:val="auto"/>
          <w:szCs w:val="28"/>
        </w:rPr>
        <w:t>九、比选申请人根据比选文件认为应提供的材料</w:t>
      </w:r>
    </w:p>
    <w:p>
      <w:pPr>
        <w:pStyle w:val="63"/>
        <w:ind w:firstLine="480"/>
        <w:jc w:val="center"/>
        <w:rPr>
          <w:rFonts w:ascii="仿宋" w:eastAsia="仿宋" w:cs="仿宋"/>
          <w:color w:val="auto"/>
          <w:szCs w:val="24"/>
        </w:rPr>
      </w:pPr>
      <w:r>
        <w:rPr>
          <w:rFonts w:hint="eastAsia" w:ascii="仿宋" w:eastAsia="仿宋" w:cs="仿宋"/>
          <w:color w:val="auto"/>
          <w:szCs w:val="24"/>
        </w:rPr>
        <w:t>（格式自拟）</w:t>
      </w:r>
    </w:p>
    <w:sectPr>
      <w:pgSz w:w="11905" w:h="16838"/>
      <w:pgMar w:top="1440" w:right="1474" w:bottom="1440" w:left="1474" w:header="425" w:footer="992" w:gutter="0"/>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A564C9-D510-4180-9C26-5728F9473C87}"/>
  </w:font>
  <w:font w:name="黑体">
    <w:panose1 w:val="02010609060101010101"/>
    <w:charset w:val="86"/>
    <w:family w:val="auto"/>
    <w:pitch w:val="default"/>
    <w:sig w:usb0="800002BF" w:usb1="38CF7CFA" w:usb2="00000016" w:usb3="00000000" w:csb0="00040001" w:csb1="00000000"/>
    <w:embedRegular r:id="rId2" w:fontKey="{39069727-03C0-4D8F-AE61-9EBED63F31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E5AD20A9-4067-4687-B739-50C016313175}"/>
  </w:font>
  <w:font w:name="Helvetica">
    <w:altName w:val="Arial"/>
    <w:panose1 w:val="020B05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A19462FA-9664-44DC-B00C-7CFF4EF02F73}"/>
  </w:font>
  <w:font w:name="方正小标宋_GBK">
    <w:panose1 w:val="02000000000000000000"/>
    <w:charset w:val="86"/>
    <w:family w:val="auto"/>
    <w:pitch w:val="default"/>
    <w:sig w:usb0="A00002BF" w:usb1="38CF7CFA" w:usb2="00082016" w:usb3="00000000" w:csb0="00040001" w:csb1="00000000"/>
    <w:embedRegular r:id="rId5" w:fontKey="{D26812D1-A6F8-460D-B812-12EBB4D775BE}"/>
  </w:font>
  <w:font w:name="仿宋">
    <w:panose1 w:val="02010609060101010101"/>
    <w:charset w:val="86"/>
    <w:family w:val="modern"/>
    <w:pitch w:val="default"/>
    <w:sig w:usb0="800002BF" w:usb1="38CF7CFA" w:usb2="00000016" w:usb3="00000000" w:csb0="00040001" w:csb1="00000000"/>
    <w:embedRegular r:id="rId6" w:fontKey="{EE6BF895-8D22-46A1-9087-19EADE404FF1}"/>
  </w:font>
  <w:font w:name="方正楷体_GB2312">
    <w:panose1 w:val="02000000000000000000"/>
    <w:charset w:val="86"/>
    <w:family w:val="auto"/>
    <w:pitch w:val="default"/>
    <w:sig w:usb0="A00002BF" w:usb1="184F6CFA" w:usb2="00000012" w:usb3="00000000" w:csb0="00040001" w:csb1="00000000"/>
    <w:embedRegular r:id="rId7" w:fontKey="{3E30BD34-4ACE-4F8C-8ACB-05CAED710768}"/>
  </w:font>
  <w:font w:name="微软雅黑">
    <w:panose1 w:val="020B0503020204020204"/>
    <w:charset w:val="86"/>
    <w:family w:val="swiss"/>
    <w:pitch w:val="default"/>
    <w:sig w:usb0="80000287" w:usb1="2ACF3C50" w:usb2="00000016" w:usb3="00000000" w:csb0="0004001F" w:csb1="00000000"/>
    <w:embedRegular r:id="rId8" w:fontKey="{7537864B-FC83-49C5-8AFD-D445AE975F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jc w:val="center"/>
      <w:rPr>
        <w:rStyle w:val="34"/>
      </w:rPr>
    </w:pPr>
    <w:r>
      <w:rPr>
        <w:rStyle w:val="34"/>
      </w:rPr>
      <w:fldChar w:fldCharType="begin"/>
    </w:r>
    <w:r>
      <w:rPr>
        <w:rStyle w:val="34"/>
      </w:rPr>
      <w:instrText xml:space="preserve">PAGE  </w:instrText>
    </w:r>
    <w:r>
      <w:fldChar w:fldCharType="separate"/>
    </w:r>
    <w:r>
      <w:rPr>
        <w:rStyle w:val="34"/>
      </w:rPr>
      <w:t>4</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rPr>
        <w:rStyle w:val="34"/>
      </w:rPr>
      <w:fldChar w:fldCharType="begin"/>
    </w:r>
    <w:r>
      <w:rPr>
        <w:rStyle w:val="34"/>
      </w:rPr>
      <w:instrText xml:space="preserve">PAGE  </w:instrText>
    </w:r>
    <w:r>
      <w:fldChar w:fldCharType="separate"/>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585" w:firstLineChars="1992"/>
    </w:pPr>
    <w:r>
      <w:rPr>
        <w:szCs w:val="21"/>
      </w:rPr>
      <w:fldChar w:fldCharType="begin"/>
    </w:r>
    <w:r>
      <w:rPr>
        <w:szCs w:val="21"/>
      </w:rPr>
      <w:instrText xml:space="preserve"> PAGE </w:instrText>
    </w:r>
    <w:r>
      <w:rPr>
        <w:szCs w:val="21"/>
      </w:rPr>
      <w:fldChar w:fldCharType="separate"/>
    </w:r>
    <w:r>
      <w:rPr>
        <w:szCs w:val="21"/>
      </w:rPr>
      <w:t>42</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44E5B"/>
    <w:multiLevelType w:val="singleLevel"/>
    <w:tmpl w:val="9AB44E5B"/>
    <w:lvl w:ilvl="0" w:tentative="0">
      <w:start w:val="1"/>
      <w:numFmt w:val="decimal"/>
      <w:suff w:val="nothing"/>
      <w:lvlText w:val="%1．"/>
      <w:lvlJc w:val="left"/>
      <w:pPr>
        <w:ind w:left="0" w:firstLine="400"/>
      </w:pPr>
      <w:rPr>
        <w:rFonts w:hint="default"/>
      </w:rPr>
    </w:lvl>
  </w:abstractNum>
  <w:abstractNum w:abstractNumId="1">
    <w:nsid w:val="A12BE49B"/>
    <w:multiLevelType w:val="singleLevel"/>
    <w:tmpl w:val="A12BE49B"/>
    <w:lvl w:ilvl="0" w:tentative="0">
      <w:start w:val="1"/>
      <w:numFmt w:val="decimal"/>
      <w:suff w:val="nothing"/>
      <w:lvlText w:val="（%1）"/>
      <w:lvlJc w:val="left"/>
    </w:lvl>
  </w:abstractNum>
  <w:abstractNum w:abstractNumId="2">
    <w:nsid w:val="AB44BEF1"/>
    <w:multiLevelType w:val="singleLevel"/>
    <w:tmpl w:val="AB44BEF1"/>
    <w:lvl w:ilvl="0" w:tentative="0">
      <w:start w:val="1"/>
      <w:numFmt w:val="chineseCounting"/>
      <w:suff w:val="nothing"/>
      <w:lvlText w:val="（%1）"/>
      <w:lvlJc w:val="left"/>
      <w:pPr>
        <w:ind w:left="0" w:firstLine="420"/>
      </w:pPr>
      <w:rPr>
        <w:rFonts w:hint="eastAsia"/>
      </w:rPr>
    </w:lvl>
  </w:abstractNum>
  <w:abstractNum w:abstractNumId="3">
    <w:nsid w:val="E174ED7E"/>
    <w:multiLevelType w:val="singleLevel"/>
    <w:tmpl w:val="E174ED7E"/>
    <w:lvl w:ilvl="0" w:tentative="0">
      <w:start w:val="1"/>
      <w:numFmt w:val="chineseCounting"/>
      <w:suff w:val="nothing"/>
      <w:lvlText w:val="%1、"/>
      <w:lvlJc w:val="left"/>
      <w:pPr>
        <w:ind w:left="0" w:firstLine="420"/>
      </w:pPr>
      <w:rPr>
        <w:rFonts w:hint="eastAsia" w:ascii="黑体" w:hAnsi="黑体" w:eastAsia="黑体" w:cs="黑体"/>
        <w:sz w:val="24"/>
        <w:szCs w:val="24"/>
      </w:rPr>
    </w:lvl>
  </w:abstractNum>
  <w:abstractNum w:abstractNumId="4">
    <w:nsid w:val="00000001"/>
    <w:multiLevelType w:val="multilevel"/>
    <w:tmpl w:val="00000001"/>
    <w:lvl w:ilvl="0" w:tentative="0">
      <w:start w:val="1"/>
      <w:numFmt w:val="decimal"/>
      <w:suff w:val="nothing"/>
      <w:lvlText w:val="%1."/>
      <w:lvlJc w:val="left"/>
      <w:pPr>
        <w:tabs>
          <w:tab w:val="left" w:pos="0"/>
        </w:tabs>
        <w:ind w:left="840" w:hanging="840"/>
      </w:pPr>
      <w:rPr>
        <w:rFonts w:hint="default"/>
      </w:r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5">
    <w:nsid w:val="0000000D"/>
    <w:multiLevelType w:val="multilevel"/>
    <w:tmpl w:val="0000000D"/>
    <w:lvl w:ilvl="0" w:tentative="0">
      <w:start w:val="1"/>
      <w:numFmt w:val="decimal"/>
      <w:suff w:val="nothing"/>
      <w:lvlText w:val="%1."/>
      <w:lvlJc w:val="left"/>
      <w:pPr>
        <w:tabs>
          <w:tab w:val="left" w:pos="0"/>
        </w:tabs>
        <w:ind w:left="1408" w:hanging="840"/>
      </w:pPr>
      <w:rPr>
        <w:rFonts w:hint="default"/>
      </w:r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03229E5A"/>
    <w:multiLevelType w:val="multilevel"/>
    <w:tmpl w:val="03229E5A"/>
    <w:lvl w:ilvl="0" w:tentative="0">
      <w:start w:val="1"/>
      <w:numFmt w:val="chineseCounting"/>
      <w:suff w:val="nothing"/>
      <w:lvlText w:val="第%1章 "/>
      <w:lvlJc w:val="left"/>
      <w:pPr>
        <w:tabs>
          <w:tab w:val="left" w:pos="0"/>
        </w:tabs>
        <w:ind w:left="0" w:firstLine="402"/>
      </w:pPr>
      <w:rPr>
        <w:rFonts w:hint="eastAsia" w:eastAsia="方正小标宋简体"/>
        <w:szCs w:val="32"/>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A4822B7"/>
    <w:multiLevelType w:val="multilevel"/>
    <w:tmpl w:val="0A4822B7"/>
    <w:lvl w:ilvl="0" w:tentative="0">
      <w:start w:val="1"/>
      <w:numFmt w:val="decimal"/>
      <w:suff w:val="nothing"/>
      <w:lvlText w:val="%1."/>
      <w:lvlJc w:val="left"/>
      <w:pPr>
        <w:tabs>
          <w:tab w:val="left" w:pos="0"/>
        </w:tabs>
        <w:ind w:left="1408" w:hanging="840"/>
      </w:pPr>
      <w:rPr>
        <w:rFonts w:hint="default"/>
      </w:rPr>
    </w:lvl>
    <w:lvl w:ilvl="1" w:tentative="0">
      <w:start w:val="1"/>
      <w:numFmt w:val="decimal"/>
      <w:lvlText w:val="%2、"/>
      <w:lvlJc w:val="left"/>
      <w:pPr>
        <w:tabs>
          <w:tab w:val="left" w:pos="0"/>
        </w:tabs>
        <w:ind w:left="1200" w:hanging="360"/>
      </w:pPr>
      <w:rPr>
        <w:rFonts w:hint="default"/>
      </w:rPr>
    </w:lvl>
    <w:lvl w:ilvl="2" w:tentative="0">
      <w:start w:val="1"/>
      <w:numFmt w:val="lowerRoman"/>
      <w:lvlText w:val="%3."/>
      <w:lvlJc w:val="right"/>
      <w:pPr>
        <w:tabs>
          <w:tab w:val="left" w:pos="0"/>
        </w:tabs>
        <w:ind w:left="1680" w:hanging="420"/>
      </w:pPr>
      <w:rPr>
        <w:rFonts w:hint="eastAsia"/>
      </w:rPr>
    </w:lvl>
    <w:lvl w:ilvl="3" w:tentative="0">
      <w:start w:val="1"/>
      <w:numFmt w:val="decimal"/>
      <w:lvlText w:val="%4."/>
      <w:lvlJc w:val="left"/>
      <w:pPr>
        <w:tabs>
          <w:tab w:val="left" w:pos="0"/>
        </w:tabs>
        <w:ind w:left="2100" w:hanging="420"/>
      </w:pPr>
      <w:rPr>
        <w:rFonts w:hint="eastAsia"/>
      </w:rPr>
    </w:lvl>
    <w:lvl w:ilvl="4" w:tentative="0">
      <w:start w:val="1"/>
      <w:numFmt w:val="lowerLetter"/>
      <w:lvlText w:val="%5)"/>
      <w:lvlJc w:val="left"/>
      <w:pPr>
        <w:tabs>
          <w:tab w:val="left" w:pos="0"/>
        </w:tabs>
        <w:ind w:left="2520" w:hanging="420"/>
      </w:pPr>
      <w:rPr>
        <w:rFonts w:hint="eastAsia"/>
      </w:rPr>
    </w:lvl>
    <w:lvl w:ilvl="5" w:tentative="0">
      <w:start w:val="1"/>
      <w:numFmt w:val="lowerRoman"/>
      <w:lvlText w:val="%6."/>
      <w:lvlJc w:val="right"/>
      <w:pPr>
        <w:tabs>
          <w:tab w:val="left" w:pos="0"/>
        </w:tabs>
        <w:ind w:left="2940" w:hanging="420"/>
      </w:pPr>
      <w:rPr>
        <w:rFonts w:hint="eastAsia"/>
      </w:rPr>
    </w:lvl>
    <w:lvl w:ilvl="6" w:tentative="0">
      <w:start w:val="1"/>
      <w:numFmt w:val="decimal"/>
      <w:lvlText w:val="%7."/>
      <w:lvlJc w:val="left"/>
      <w:pPr>
        <w:tabs>
          <w:tab w:val="left" w:pos="0"/>
        </w:tabs>
        <w:ind w:left="3360" w:hanging="420"/>
      </w:pPr>
      <w:rPr>
        <w:rFonts w:hint="eastAsia"/>
      </w:rPr>
    </w:lvl>
    <w:lvl w:ilvl="7" w:tentative="0">
      <w:start w:val="1"/>
      <w:numFmt w:val="lowerLetter"/>
      <w:lvlText w:val="%8)"/>
      <w:lvlJc w:val="left"/>
      <w:pPr>
        <w:tabs>
          <w:tab w:val="left" w:pos="0"/>
        </w:tabs>
        <w:ind w:left="3780" w:hanging="420"/>
      </w:pPr>
      <w:rPr>
        <w:rFonts w:hint="eastAsia"/>
      </w:rPr>
    </w:lvl>
    <w:lvl w:ilvl="8" w:tentative="0">
      <w:start w:val="1"/>
      <w:numFmt w:val="lowerRoman"/>
      <w:lvlText w:val="%9."/>
      <w:lvlJc w:val="right"/>
      <w:pPr>
        <w:tabs>
          <w:tab w:val="left" w:pos="0"/>
        </w:tabs>
        <w:ind w:left="4200" w:hanging="420"/>
      </w:pPr>
      <w:rPr>
        <w:rFonts w:hint="eastAsia"/>
      </w:rPr>
    </w:lvl>
  </w:abstractNum>
  <w:abstractNum w:abstractNumId="8">
    <w:nsid w:val="12AF4E29"/>
    <w:multiLevelType w:val="singleLevel"/>
    <w:tmpl w:val="12AF4E29"/>
    <w:lvl w:ilvl="0" w:tentative="0">
      <w:start w:val="1"/>
      <w:numFmt w:val="decimal"/>
      <w:lvlText w:val="%1"/>
      <w:lvlJc w:val="left"/>
      <w:pPr>
        <w:tabs>
          <w:tab w:val="left" w:pos="420"/>
        </w:tabs>
        <w:ind w:left="425" w:hanging="425"/>
      </w:pPr>
      <w:rPr>
        <w:rFonts w:hint="default"/>
      </w:rPr>
    </w:lvl>
  </w:abstractNum>
  <w:abstractNum w:abstractNumId="9">
    <w:nsid w:val="28410850"/>
    <w:multiLevelType w:val="multilevel"/>
    <w:tmpl w:val="28410850"/>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10">
    <w:nsid w:val="3E0D96A9"/>
    <w:multiLevelType w:val="singleLevel"/>
    <w:tmpl w:val="3E0D96A9"/>
    <w:lvl w:ilvl="0" w:tentative="0">
      <w:start w:val="1"/>
      <w:numFmt w:val="decimal"/>
      <w:suff w:val="nothing"/>
      <w:lvlText w:val="（%1）"/>
      <w:lvlJc w:val="left"/>
    </w:lvl>
  </w:abstractNum>
  <w:abstractNum w:abstractNumId="11">
    <w:nsid w:val="549DE9EB"/>
    <w:multiLevelType w:val="singleLevel"/>
    <w:tmpl w:val="549DE9EB"/>
    <w:lvl w:ilvl="0" w:tentative="0">
      <w:start w:val="1"/>
      <w:numFmt w:val="decimal"/>
      <w:suff w:val="nothing"/>
      <w:lvlText w:val="%1．"/>
      <w:lvlJc w:val="left"/>
      <w:pPr>
        <w:ind w:left="0" w:firstLine="400"/>
      </w:pPr>
      <w:rPr>
        <w:rFonts w:hint="default"/>
      </w:rPr>
    </w:lvl>
  </w:abstractNum>
  <w:abstractNum w:abstractNumId="12">
    <w:nsid w:val="5ADF0CBB"/>
    <w:multiLevelType w:val="multilevel"/>
    <w:tmpl w:val="5ADF0CBB"/>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pStyle w:val="68"/>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3969" w:hanging="1418"/>
      </w:pPr>
      <w:rPr>
        <w:rFonts w:hint="eastAsia"/>
      </w:rPr>
    </w:lvl>
    <w:lvl w:ilvl="8" w:tentative="0">
      <w:start w:val="1"/>
      <w:numFmt w:val="decimal"/>
      <w:lvlText w:val="%1.%2.%3.%4.%5.%6.%7.%8.%9"/>
      <w:lvlJc w:val="left"/>
      <w:pPr>
        <w:tabs>
          <w:tab w:val="left" w:pos="0"/>
        </w:tabs>
        <w:ind w:left="4677" w:hanging="1700"/>
      </w:pPr>
      <w:rPr>
        <w:rFonts w:hint="eastAsia"/>
      </w:rPr>
    </w:lvl>
  </w:abstractNum>
  <w:num w:numId="1">
    <w:abstractNumId w:val="9"/>
  </w:num>
  <w:num w:numId="2">
    <w:abstractNumId w:val="12"/>
  </w:num>
  <w:num w:numId="3">
    <w:abstractNumId w:val="6"/>
  </w:num>
  <w:num w:numId="4">
    <w:abstractNumId w:val="3"/>
  </w:num>
  <w:num w:numId="5">
    <w:abstractNumId w:val="2"/>
  </w:num>
  <w:num w:numId="6">
    <w:abstractNumId w:val="8"/>
  </w:num>
  <w:num w:numId="7">
    <w:abstractNumId w:val="11"/>
  </w:num>
  <w:num w:numId="8">
    <w:abstractNumId w:val="10"/>
  </w:num>
  <w:num w:numId="9">
    <w:abstractNumId w:val="1"/>
  </w:num>
  <w:num w:numId="10">
    <w:abstractNumId w:val="4"/>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340"/>
  <w:drawingGridVerticalSpacing w:val="-794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ODEzYjQ3NjZlZGZmYWRmYmQyZWUwY2M4ZjA1NjcifQ=="/>
  </w:docVars>
  <w:rsids>
    <w:rsidRoot w:val="0016249F"/>
    <w:rsid w:val="000076A2"/>
    <w:rsid w:val="00105755"/>
    <w:rsid w:val="0016249F"/>
    <w:rsid w:val="001661FD"/>
    <w:rsid w:val="00171A6F"/>
    <w:rsid w:val="00174562"/>
    <w:rsid w:val="001D2722"/>
    <w:rsid w:val="0021724B"/>
    <w:rsid w:val="00287A83"/>
    <w:rsid w:val="002D6C70"/>
    <w:rsid w:val="003E0C4D"/>
    <w:rsid w:val="00433956"/>
    <w:rsid w:val="00484FF3"/>
    <w:rsid w:val="004872C7"/>
    <w:rsid w:val="00497D15"/>
    <w:rsid w:val="004B1DB6"/>
    <w:rsid w:val="004E1B51"/>
    <w:rsid w:val="00682F27"/>
    <w:rsid w:val="006A3052"/>
    <w:rsid w:val="0075559C"/>
    <w:rsid w:val="007B2DA5"/>
    <w:rsid w:val="007C1ED6"/>
    <w:rsid w:val="00834C9B"/>
    <w:rsid w:val="00840411"/>
    <w:rsid w:val="00864DF3"/>
    <w:rsid w:val="00871E41"/>
    <w:rsid w:val="00945B9E"/>
    <w:rsid w:val="00A409FB"/>
    <w:rsid w:val="00A77D89"/>
    <w:rsid w:val="00A87BE7"/>
    <w:rsid w:val="00A97025"/>
    <w:rsid w:val="00B3796E"/>
    <w:rsid w:val="00B8586E"/>
    <w:rsid w:val="00BD0745"/>
    <w:rsid w:val="00C02509"/>
    <w:rsid w:val="00C31087"/>
    <w:rsid w:val="00D33072"/>
    <w:rsid w:val="00DC6E06"/>
    <w:rsid w:val="00E873D4"/>
    <w:rsid w:val="00EB093A"/>
    <w:rsid w:val="00EB3158"/>
    <w:rsid w:val="00EC5931"/>
    <w:rsid w:val="05A70956"/>
    <w:rsid w:val="074E2EF7"/>
    <w:rsid w:val="0D636758"/>
    <w:rsid w:val="0E532095"/>
    <w:rsid w:val="0FAE4E7B"/>
    <w:rsid w:val="11C77D50"/>
    <w:rsid w:val="11CF09F1"/>
    <w:rsid w:val="12297598"/>
    <w:rsid w:val="136245B2"/>
    <w:rsid w:val="148A5C14"/>
    <w:rsid w:val="19556AFA"/>
    <w:rsid w:val="1A712411"/>
    <w:rsid w:val="1A8C6326"/>
    <w:rsid w:val="1B9E5DA3"/>
    <w:rsid w:val="217C4D0F"/>
    <w:rsid w:val="2208041A"/>
    <w:rsid w:val="22E73F1D"/>
    <w:rsid w:val="25FA7DE7"/>
    <w:rsid w:val="270755BE"/>
    <w:rsid w:val="2B324F19"/>
    <w:rsid w:val="2D921A3D"/>
    <w:rsid w:val="309A4D22"/>
    <w:rsid w:val="32C10694"/>
    <w:rsid w:val="344A5BA8"/>
    <w:rsid w:val="355F338B"/>
    <w:rsid w:val="35EC4E3A"/>
    <w:rsid w:val="364007FB"/>
    <w:rsid w:val="3A1339F6"/>
    <w:rsid w:val="3A1B28BD"/>
    <w:rsid w:val="3CE84C78"/>
    <w:rsid w:val="3CEF61E7"/>
    <w:rsid w:val="3DA9544D"/>
    <w:rsid w:val="44256024"/>
    <w:rsid w:val="46F32B98"/>
    <w:rsid w:val="471D710B"/>
    <w:rsid w:val="4B781DB2"/>
    <w:rsid w:val="4C1F08DA"/>
    <w:rsid w:val="4D065F6E"/>
    <w:rsid w:val="4E045AE0"/>
    <w:rsid w:val="4FFD6CB4"/>
    <w:rsid w:val="5211014C"/>
    <w:rsid w:val="522B1438"/>
    <w:rsid w:val="568F3FEA"/>
    <w:rsid w:val="57AE0EE7"/>
    <w:rsid w:val="57EE7456"/>
    <w:rsid w:val="580249E9"/>
    <w:rsid w:val="5893518C"/>
    <w:rsid w:val="58FE3586"/>
    <w:rsid w:val="59DA1719"/>
    <w:rsid w:val="5B5D7E1A"/>
    <w:rsid w:val="609F196E"/>
    <w:rsid w:val="60DF4001"/>
    <w:rsid w:val="63C7125F"/>
    <w:rsid w:val="647F52EC"/>
    <w:rsid w:val="6677227C"/>
    <w:rsid w:val="66B27918"/>
    <w:rsid w:val="66E90DBE"/>
    <w:rsid w:val="68E048D2"/>
    <w:rsid w:val="6D1C6288"/>
    <w:rsid w:val="6DCA78FF"/>
    <w:rsid w:val="71A17CF0"/>
    <w:rsid w:val="71C41FCE"/>
    <w:rsid w:val="74CE1A39"/>
    <w:rsid w:val="76B455F0"/>
    <w:rsid w:val="77285014"/>
    <w:rsid w:val="781D4749"/>
    <w:rsid w:val="79366BFC"/>
    <w:rsid w:val="7A8C5EDA"/>
    <w:rsid w:val="7BB75B56"/>
    <w:rsid w:val="7C052832"/>
    <w:rsid w:val="7C2C6949"/>
    <w:rsid w:val="7DDA1DE0"/>
    <w:rsid w:val="B7DF908F"/>
    <w:rsid w:val="EEF39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autoRedefine/>
    <w:qFormat/>
    <w:uiPriority w:val="0"/>
    <w:pPr>
      <w:keepNext/>
      <w:keepLines/>
      <w:numPr>
        <w:ilvl w:val="4"/>
        <w:numId w:val="1"/>
      </w:numPr>
      <w:spacing w:before="280" w:after="290" w:line="372" w:lineRule="auto"/>
      <w:outlineLvl w:val="4"/>
    </w:pPr>
    <w:rPr>
      <w:b/>
      <w:sz w:val="28"/>
    </w:rPr>
  </w:style>
  <w:style w:type="paragraph" w:styleId="9">
    <w:name w:val="heading 6"/>
    <w:basedOn w:val="1"/>
    <w:next w:val="8"/>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8"/>
    <w:autoRedefine/>
    <w:qFormat/>
    <w:uiPriority w:val="0"/>
    <w:pPr>
      <w:keepNext/>
      <w:keepLines/>
      <w:numPr>
        <w:ilvl w:val="6"/>
        <w:numId w:val="1"/>
      </w:numPr>
      <w:spacing w:before="240" w:after="64" w:line="317" w:lineRule="auto"/>
      <w:outlineLvl w:val="6"/>
    </w:pPr>
    <w:rPr>
      <w:b/>
      <w:sz w:val="24"/>
    </w:rPr>
  </w:style>
  <w:style w:type="paragraph" w:styleId="11">
    <w:name w:val="heading 8"/>
    <w:basedOn w:val="1"/>
    <w:next w:val="8"/>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8"/>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33">
    <w:name w:val="Default Paragraph Font"/>
    <w:autoRedefine/>
    <w:unhideWhenUsed/>
    <w:qFormat/>
    <w:uiPriority w:val="1"/>
  </w:style>
  <w:style w:type="table" w:default="1" w:styleId="32">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8">
    <w:name w:val="Normal Indent"/>
    <w:basedOn w:val="1"/>
    <w:autoRedefine/>
    <w:qFormat/>
    <w:uiPriority w:val="0"/>
    <w:pPr>
      <w:ind w:firstLine="200" w:firstLineChars="200"/>
    </w:pPr>
  </w:style>
  <w:style w:type="paragraph" w:styleId="13">
    <w:name w:val="Document Map"/>
    <w:basedOn w:val="1"/>
    <w:autoRedefine/>
    <w:qFormat/>
    <w:uiPriority w:val="0"/>
    <w:pPr>
      <w:shd w:val="clear" w:color="auto" w:fill="000080"/>
    </w:pPr>
  </w:style>
  <w:style w:type="paragraph" w:styleId="14">
    <w:name w:val="annotation text"/>
    <w:basedOn w:val="1"/>
    <w:autoRedefine/>
    <w:qFormat/>
    <w:uiPriority w:val="0"/>
    <w:pPr>
      <w:jc w:val="left"/>
    </w:pPr>
    <w:rPr>
      <w:kern w:val="2"/>
      <w:sz w:val="21"/>
      <w:szCs w:val="24"/>
    </w:rPr>
  </w:style>
  <w:style w:type="paragraph" w:styleId="15">
    <w:name w:val="Body Text 3"/>
    <w:basedOn w:val="1"/>
    <w:autoRedefine/>
    <w:qFormat/>
    <w:uiPriority w:val="0"/>
    <w:pPr>
      <w:spacing w:line="500" w:lineRule="exact"/>
    </w:pPr>
    <w:rPr>
      <w:b/>
      <w:bCs/>
      <w:sz w:val="24"/>
    </w:rPr>
  </w:style>
  <w:style w:type="paragraph" w:styleId="16">
    <w:name w:val="Body Text Indent"/>
    <w:basedOn w:val="1"/>
    <w:autoRedefine/>
    <w:qFormat/>
    <w:uiPriority w:val="0"/>
    <w:pPr>
      <w:ind w:firstLine="630"/>
    </w:pPr>
    <w:rPr>
      <w:sz w:val="32"/>
    </w:rPr>
  </w:style>
  <w:style w:type="paragraph" w:styleId="17">
    <w:name w:val="Block Text"/>
    <w:basedOn w:val="1"/>
    <w:autoRedefine/>
    <w:qFormat/>
    <w:uiPriority w:val="0"/>
    <w:pPr>
      <w:spacing w:line="400" w:lineRule="exact"/>
      <w:ind w:left="-171" w:leftChars="-171" w:right="-327" w:rightChars="-327" w:firstLine="720"/>
    </w:pPr>
    <w:rPr>
      <w:sz w:val="28"/>
    </w:rPr>
  </w:style>
  <w:style w:type="paragraph" w:styleId="18">
    <w:name w:val="Plain Text"/>
    <w:basedOn w:val="1"/>
    <w:autoRedefine/>
    <w:qFormat/>
    <w:uiPriority w:val="0"/>
    <w:rPr>
      <w:rFonts w:cs="Courier New"/>
      <w:szCs w:val="21"/>
    </w:rPr>
  </w:style>
  <w:style w:type="paragraph" w:styleId="19">
    <w:name w:val="Date"/>
    <w:basedOn w:val="1"/>
    <w:next w:val="1"/>
    <w:autoRedefine/>
    <w:qFormat/>
    <w:uiPriority w:val="0"/>
    <w:rPr>
      <w:rFonts w:eastAsia="黑体"/>
      <w:sz w:val="36"/>
    </w:rPr>
  </w:style>
  <w:style w:type="paragraph" w:styleId="20">
    <w:name w:val="Body Text Indent 2"/>
    <w:basedOn w:val="1"/>
    <w:autoRedefine/>
    <w:qFormat/>
    <w:uiPriority w:val="0"/>
    <w:pPr>
      <w:ind w:firstLine="630"/>
    </w:pPr>
    <w:rPr>
      <w:sz w:val="32"/>
    </w:rPr>
  </w:style>
  <w:style w:type="paragraph" w:styleId="21">
    <w:name w:val="Balloon Text"/>
    <w:basedOn w:val="1"/>
    <w:autoRedefine/>
    <w:qFormat/>
    <w:uiPriority w:val="0"/>
    <w:rPr>
      <w:kern w:val="2"/>
      <w:sz w:val="18"/>
      <w:szCs w:val="18"/>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0"/>
    <w:pPr>
      <w:spacing w:line="360" w:lineRule="auto"/>
    </w:pPr>
    <w:rPr>
      <w:rFonts w:eastAsia="黑体"/>
      <w:sz w:val="24"/>
    </w:rPr>
  </w:style>
  <w:style w:type="paragraph" w:styleId="25">
    <w:name w:val="Subtitle"/>
    <w:basedOn w:val="1"/>
    <w:next w:val="1"/>
    <w:autoRedefine/>
    <w:qFormat/>
    <w:uiPriority w:val="0"/>
    <w:pPr>
      <w:spacing w:line="288" w:lineRule="auto"/>
      <w:outlineLvl w:val="1"/>
    </w:pPr>
    <w:rPr>
      <w:rFonts w:ascii="Helvetica" w:hAnsi="Helvetica" w:eastAsia="Arial Unicode MS" w:cs="Arial Unicode MS"/>
      <w:b/>
      <w:bCs/>
      <w:color w:val="565452"/>
      <w:spacing w:val="7"/>
      <w:sz w:val="36"/>
      <w:szCs w:val="36"/>
      <w:lang w:val="de-DE"/>
    </w:rPr>
  </w:style>
  <w:style w:type="paragraph" w:styleId="26">
    <w:name w:val="Body Text Indent 3"/>
    <w:basedOn w:val="1"/>
    <w:autoRedefine/>
    <w:qFormat/>
    <w:uiPriority w:val="0"/>
    <w:pPr>
      <w:adjustRightInd w:val="0"/>
      <w:snapToGrid w:val="0"/>
      <w:spacing w:line="360" w:lineRule="auto"/>
      <w:ind w:firstLine="200" w:firstLineChars="200"/>
    </w:pPr>
    <w:rPr>
      <w:rFonts w:ascii="黑体" w:eastAsia="黑体"/>
      <w:sz w:val="30"/>
      <w:szCs w:val="28"/>
    </w:rPr>
  </w:style>
  <w:style w:type="paragraph" w:styleId="27">
    <w:name w:val="Body Text 2"/>
    <w:basedOn w:val="1"/>
    <w:autoRedefine/>
    <w:qFormat/>
    <w:uiPriority w:val="0"/>
    <w:pPr>
      <w:spacing w:after="120" w:line="480" w:lineRule="auto"/>
    </w:pPr>
  </w:style>
  <w:style w:type="paragraph" w:styleId="28">
    <w:name w:val="Normal (Web)"/>
    <w:basedOn w:val="1"/>
    <w:autoRedefine/>
    <w:qFormat/>
    <w:uiPriority w:val="0"/>
    <w:pPr>
      <w:widowControl/>
      <w:spacing w:before="100" w:beforeAutospacing="1" w:after="100" w:afterAutospacing="1"/>
      <w:jc w:val="left"/>
    </w:pPr>
    <w:rPr>
      <w:sz w:val="18"/>
      <w:szCs w:val="18"/>
    </w:rPr>
  </w:style>
  <w:style w:type="paragraph" w:styleId="29">
    <w:name w:val="Title"/>
    <w:basedOn w:val="1"/>
    <w:next w:val="1"/>
    <w:autoRedefine/>
    <w:qFormat/>
    <w:uiPriority w:val="0"/>
    <w:pPr>
      <w:spacing w:before="240" w:after="60"/>
      <w:jc w:val="center"/>
      <w:outlineLvl w:val="0"/>
    </w:pPr>
    <w:rPr>
      <w:rFonts w:ascii="Cambria" w:hAnsi="Cambria"/>
      <w:b/>
      <w:bCs/>
      <w:sz w:val="32"/>
      <w:szCs w:val="32"/>
    </w:rPr>
  </w:style>
  <w:style w:type="paragraph" w:styleId="30">
    <w:name w:val="annotation subject"/>
    <w:basedOn w:val="14"/>
    <w:next w:val="14"/>
    <w:autoRedefine/>
    <w:qFormat/>
    <w:uiPriority w:val="0"/>
    <w:rPr>
      <w:b/>
      <w:bCs/>
    </w:rPr>
  </w:style>
  <w:style w:type="paragraph" w:styleId="31">
    <w:name w:val="Body Text First Indent"/>
    <w:basedOn w:val="2"/>
    <w:autoRedefine/>
    <w:qFormat/>
    <w:uiPriority w:val="0"/>
    <w:pPr>
      <w:ind w:firstLine="100" w:firstLineChars="100"/>
    </w:pPr>
  </w:style>
  <w:style w:type="character" w:styleId="34">
    <w:name w:val="page number"/>
    <w:basedOn w:val="33"/>
    <w:autoRedefine/>
    <w:qFormat/>
    <w:uiPriority w:val="0"/>
  </w:style>
  <w:style w:type="character" w:styleId="35">
    <w:name w:val="FollowedHyperlink"/>
    <w:autoRedefine/>
    <w:qFormat/>
    <w:uiPriority w:val="0"/>
    <w:rPr>
      <w:color w:val="800080"/>
      <w:u w:val="single"/>
    </w:rPr>
  </w:style>
  <w:style w:type="character" w:styleId="36">
    <w:name w:val="Hyperlink"/>
    <w:autoRedefine/>
    <w:qFormat/>
    <w:uiPriority w:val="0"/>
    <w:rPr>
      <w:color w:val="0000FF"/>
      <w:u w:val="single"/>
    </w:rPr>
  </w:style>
  <w:style w:type="character" w:styleId="37">
    <w:name w:val="annotation reference"/>
    <w:autoRedefine/>
    <w:qFormat/>
    <w:uiPriority w:val="0"/>
    <w:rPr>
      <w:sz w:val="21"/>
    </w:rPr>
  </w:style>
  <w:style w:type="paragraph" w:customStyle="1" w:styleId="38">
    <w:name w:val="BodyText1I2"/>
    <w:basedOn w:val="39"/>
    <w:autoRedefine/>
    <w:qFormat/>
    <w:uiPriority w:val="0"/>
    <w:pPr>
      <w:spacing w:after="0"/>
      <w:ind w:left="0" w:leftChars="0" w:firstLine="420" w:firstLineChars="200"/>
    </w:pPr>
  </w:style>
  <w:style w:type="paragraph" w:customStyle="1" w:styleId="39">
    <w:name w:val="BodyTextIndent"/>
    <w:basedOn w:val="1"/>
    <w:autoRedefine/>
    <w:qFormat/>
    <w:uiPriority w:val="0"/>
    <w:pPr>
      <w:spacing w:after="120"/>
      <w:ind w:left="420" w:leftChars="200"/>
      <w:textAlignment w:val="baseline"/>
    </w:pPr>
  </w:style>
  <w:style w:type="character" w:customStyle="1" w:styleId="40">
    <w:name w:val="unnamed31"/>
    <w:autoRedefine/>
    <w:qFormat/>
    <w:uiPriority w:val="0"/>
    <w:rPr>
      <w:sz w:val="22"/>
      <w:szCs w:val="22"/>
    </w:rPr>
  </w:style>
  <w:style w:type="character" w:customStyle="1" w:styleId="41">
    <w:name w:val="标题 Char1"/>
    <w:autoRedefine/>
    <w:qFormat/>
    <w:uiPriority w:val="0"/>
    <w:rPr>
      <w:rFonts w:ascii="Cambria" w:hAnsi="Cambria" w:cs="Times New Roman"/>
      <w:b/>
      <w:bCs/>
      <w:kern w:val="2"/>
      <w:sz w:val="32"/>
      <w:szCs w:val="32"/>
    </w:rPr>
  </w:style>
  <w:style w:type="character" w:customStyle="1" w:styleId="42">
    <w:name w:val="font111"/>
    <w:autoRedefine/>
    <w:qFormat/>
    <w:uiPriority w:val="0"/>
    <w:rPr>
      <w:rFonts w:ascii="Eʩ" w:hAnsi="Eʩ" w:eastAsia="Eʩ" w:cs="Eʩ"/>
      <w:color w:val="000000"/>
      <w:sz w:val="21"/>
      <w:szCs w:val="21"/>
      <w:u w:val="single"/>
    </w:rPr>
  </w:style>
  <w:style w:type="character" w:customStyle="1" w:styleId="43">
    <w:name w:val="font31"/>
    <w:autoRedefine/>
    <w:qFormat/>
    <w:uiPriority w:val="0"/>
    <w:rPr>
      <w:rFonts w:ascii="宋体" w:eastAsia="宋体" w:cs="宋体"/>
      <w:color w:val="000000"/>
      <w:sz w:val="21"/>
      <w:szCs w:val="21"/>
      <w:u w:val="none"/>
    </w:rPr>
  </w:style>
  <w:style w:type="character" w:customStyle="1" w:styleId="44">
    <w:name w:val="Char Char Char"/>
    <w:autoRedefine/>
    <w:qFormat/>
    <w:uiPriority w:val="0"/>
    <w:rPr>
      <w:rFonts w:eastAsia="宋体"/>
      <w:b/>
      <w:kern w:val="2"/>
      <w:sz w:val="32"/>
      <w:lang w:val="en-US" w:eastAsia="zh-CN" w:bidi="ar-SA"/>
    </w:rPr>
  </w:style>
  <w:style w:type="character" w:customStyle="1" w:styleId="45">
    <w:name w:val="font101"/>
    <w:autoRedefine/>
    <w:qFormat/>
    <w:uiPriority w:val="0"/>
    <w:rPr>
      <w:rFonts w:ascii="宋体" w:eastAsia="宋体" w:cs="宋体"/>
      <w:color w:val="000000"/>
      <w:sz w:val="21"/>
      <w:szCs w:val="21"/>
      <w:u w:val="single"/>
    </w:rPr>
  </w:style>
  <w:style w:type="character" w:customStyle="1" w:styleId="46">
    <w:name w:val="textnorm_chn1"/>
    <w:autoRedefine/>
    <w:qFormat/>
    <w:uiPriority w:val="0"/>
    <w:rPr>
      <w:rFonts w:ascii="Arial" w:hAnsi="Arial" w:cs="Arial"/>
      <w:color w:val="21254A"/>
      <w:sz w:val="22"/>
      <w:szCs w:val="22"/>
    </w:rPr>
  </w:style>
  <w:style w:type="character" w:customStyle="1" w:styleId="47">
    <w:name w:val="font91"/>
    <w:autoRedefine/>
    <w:qFormat/>
    <w:uiPriority w:val="0"/>
    <w:rPr>
      <w:rFonts w:ascii="宋体" w:eastAsia="宋体" w:cs="宋体"/>
      <w:color w:val="FF0000"/>
      <w:sz w:val="21"/>
      <w:szCs w:val="21"/>
      <w:u w:val="single"/>
    </w:rPr>
  </w:style>
  <w:style w:type="character" w:customStyle="1" w:styleId="48">
    <w:name w:val="正文首行缩进两字符 Char Char"/>
    <w:autoRedefine/>
    <w:qFormat/>
    <w:uiPriority w:val="0"/>
    <w:rPr>
      <w:rFonts w:eastAsia="宋体"/>
      <w:kern w:val="2"/>
      <w:sz w:val="21"/>
      <w:szCs w:val="24"/>
      <w:lang w:val="en-US" w:eastAsia="zh-CN" w:bidi="ar-SA"/>
    </w:rPr>
  </w:style>
  <w:style w:type="character" w:customStyle="1" w:styleId="49">
    <w:name w:val="标题 3 Char Char Char"/>
    <w:autoRedefine/>
    <w:qFormat/>
    <w:uiPriority w:val="0"/>
    <w:rPr>
      <w:rFonts w:eastAsia="宋体"/>
      <w:b/>
      <w:kern w:val="2"/>
      <w:sz w:val="32"/>
      <w:lang w:val="en-US" w:eastAsia="zh-CN" w:bidi="ar-SA"/>
    </w:rPr>
  </w:style>
  <w:style w:type="paragraph" w:customStyle="1" w:styleId="50">
    <w:name w:val="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51">
    <w:name w:val="正文 New"/>
    <w:autoRedefine/>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52">
    <w:name w:val="Char Char1 Char Char Char Char"/>
    <w:basedOn w:val="1"/>
    <w:autoRedefine/>
    <w:qFormat/>
    <w:uiPriority w:val="0"/>
  </w:style>
  <w:style w:type="paragraph" w:customStyle="1" w:styleId="53">
    <w:name w:val="Char1"/>
    <w:basedOn w:val="1"/>
    <w:autoRedefine/>
    <w:qFormat/>
    <w:uiPriority w:val="0"/>
    <w:rPr>
      <w:rFonts w:ascii="仿宋_GB2312" w:eastAsia="仿宋_GB2312"/>
      <w:b/>
      <w:sz w:val="32"/>
      <w:szCs w:val="32"/>
    </w:rPr>
  </w:style>
  <w:style w:type="paragraph" w:customStyle="1" w:styleId="54">
    <w:name w:val="纯文本1"/>
    <w:basedOn w:val="1"/>
    <w:autoRedefine/>
    <w:qFormat/>
    <w:uiPriority w:val="0"/>
    <w:pPr>
      <w:adjustRightInd w:val="0"/>
      <w:textAlignment w:val="baseline"/>
    </w:pPr>
  </w:style>
  <w:style w:type="paragraph" w:customStyle="1" w:styleId="55">
    <w:name w:val="样式1"/>
    <w:basedOn w:val="1"/>
    <w:autoRedefine/>
    <w:qFormat/>
    <w:uiPriority w:val="0"/>
    <w:pPr>
      <w:adjustRightInd w:val="0"/>
      <w:spacing w:line="420" w:lineRule="auto"/>
      <w:jc w:val="center"/>
      <w:textAlignment w:val="baseline"/>
    </w:pPr>
    <w:rPr>
      <w:sz w:val="24"/>
    </w:rPr>
  </w:style>
  <w:style w:type="paragraph" w:customStyle="1" w:styleId="56">
    <w:name w:val="列表段落1"/>
    <w:basedOn w:val="1"/>
    <w:autoRedefine/>
    <w:qFormat/>
    <w:uiPriority w:val="0"/>
    <w:pPr>
      <w:ind w:firstLine="200" w:firstLineChars="200"/>
    </w:pPr>
  </w:style>
  <w:style w:type="paragraph" w:customStyle="1" w:styleId="57">
    <w:name w:val="Table Text"/>
    <w:basedOn w:val="1"/>
    <w:autoRedefine/>
    <w:qFormat/>
    <w:uiPriority w:val="0"/>
    <w:pPr>
      <w:widowControl/>
      <w:spacing w:before="60" w:after="60"/>
      <w:jc w:val="left"/>
    </w:pPr>
  </w:style>
  <w:style w:type="paragraph" w:customStyle="1" w:styleId="58">
    <w:name w:val="正文文本 21"/>
    <w:basedOn w:val="1"/>
    <w:autoRedefine/>
    <w:qFormat/>
    <w:uiPriority w:val="0"/>
    <w:pPr>
      <w:adjustRightInd w:val="0"/>
      <w:spacing w:line="300" w:lineRule="auto"/>
      <w:jc w:val="center"/>
      <w:textAlignment w:val="baseline"/>
    </w:pPr>
    <w:rPr>
      <w:sz w:val="24"/>
    </w:rPr>
  </w:style>
  <w:style w:type="paragraph" w:customStyle="1" w:styleId="59">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Char2"/>
    <w:basedOn w:val="1"/>
    <w:autoRedefine/>
    <w:qFormat/>
    <w:uiPriority w:val="0"/>
  </w:style>
  <w:style w:type="paragraph" w:customStyle="1" w:styleId="61">
    <w:name w:val="正文首行缩进两字符"/>
    <w:basedOn w:val="1"/>
    <w:autoRedefine/>
    <w:qFormat/>
    <w:uiPriority w:val="0"/>
    <w:pPr>
      <w:spacing w:line="360" w:lineRule="auto"/>
      <w:ind w:firstLine="200" w:firstLineChars="200"/>
    </w:pPr>
  </w:style>
  <w:style w:type="paragraph" w:customStyle="1" w:styleId="62">
    <w:name w:val="Char Char Char 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63">
    <w:name w:val="样式 首行缩进:  2 字符"/>
    <w:basedOn w:val="1"/>
    <w:autoRedefine/>
    <w:qFormat/>
    <w:uiPriority w:val="0"/>
    <w:pPr>
      <w:spacing w:line="400" w:lineRule="exact"/>
      <w:ind w:firstLine="200" w:firstLineChars="200"/>
    </w:pPr>
    <w:rPr>
      <w:rFonts w:cs="宋体"/>
      <w:sz w:val="24"/>
    </w:rPr>
  </w:style>
  <w:style w:type="paragraph" w:customStyle="1" w:styleId="64">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65">
    <w:name w:val="默认段落字体 Para Char Char Char Char Char Char Char Char Char1 Char Char Char Char"/>
    <w:basedOn w:val="1"/>
    <w:autoRedefine/>
    <w:qFormat/>
    <w:uiPriority w:val="0"/>
    <w:rPr>
      <w:rFonts w:ascii="Tahoma" w:hAnsi="Tahoma"/>
      <w:sz w:val="24"/>
    </w:rPr>
  </w:style>
  <w:style w:type="paragraph" w:customStyle="1" w:styleId="66">
    <w:name w:val="plaintext"/>
    <w:basedOn w:val="1"/>
    <w:autoRedefine/>
    <w:qFormat/>
    <w:uiPriority w:val="0"/>
    <w:pPr>
      <w:widowControl/>
      <w:spacing w:before="100" w:beforeAutospacing="1" w:after="100" w:afterAutospacing="1"/>
      <w:jc w:val="left"/>
    </w:pPr>
    <w:rPr>
      <w:sz w:val="24"/>
    </w:rPr>
  </w:style>
  <w:style w:type="paragraph" w:customStyle="1" w:styleId="67">
    <w:name w:val="table head"/>
    <w:basedOn w:val="1"/>
    <w:autoRedefine/>
    <w:qFormat/>
    <w:uiPriority w:val="0"/>
    <w:pPr>
      <w:keepNext/>
      <w:keepLines/>
      <w:adjustRightInd w:val="0"/>
      <w:spacing w:line="312" w:lineRule="atLeast"/>
      <w:jc w:val="center"/>
      <w:textAlignment w:val="baseline"/>
    </w:pPr>
    <w:rPr>
      <w:b/>
    </w:rPr>
  </w:style>
  <w:style w:type="paragraph" w:customStyle="1" w:styleId="68">
    <w:name w:val="章标题"/>
    <w:next w:val="1"/>
    <w:autoRedefine/>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70">
    <w:name w:val="Char2 Char Char Char"/>
    <w:basedOn w:val="1"/>
    <w:autoRedefine/>
    <w:qFormat/>
    <w:uiPriority w:val="0"/>
    <w:rPr>
      <w:rFonts w:ascii="仿宋_GB2312" w:eastAsia="仿宋_GB2312"/>
      <w:b/>
      <w:sz w:val="32"/>
      <w:szCs w:val="32"/>
    </w:rPr>
  </w:style>
  <w:style w:type="paragraph" w:customStyle="1" w:styleId="71">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表格"/>
    <w:basedOn w:val="1"/>
    <w:autoRedefine/>
    <w:qFormat/>
    <w:uiPriority w:val="0"/>
    <w:pPr>
      <w:spacing w:line="400" w:lineRule="exact"/>
    </w:pPr>
    <w:rPr>
      <w:sz w:val="24"/>
    </w:rPr>
  </w:style>
  <w:style w:type="paragraph" w:customStyle="1" w:styleId="73">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74">
    <w:name w:val="Char Char Char Char Char Char1 Char"/>
    <w:basedOn w:val="13"/>
    <w:autoRedefine/>
    <w:qFormat/>
    <w:uiPriority w:val="0"/>
    <w:rPr>
      <w:rFonts w:ascii="Tahoma" w:hAnsi="Tahoma"/>
      <w:sz w:val="24"/>
      <w:szCs w:val="24"/>
    </w:rPr>
  </w:style>
  <w:style w:type="paragraph" w:customStyle="1" w:styleId="75">
    <w:name w:val="Char11"/>
    <w:basedOn w:val="1"/>
    <w:autoRedefine/>
    <w:qFormat/>
    <w:uiPriority w:val="0"/>
    <w:rPr>
      <w:szCs w:val="21"/>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8">
    <w:name w:val="正文缩进1"/>
    <w:basedOn w:val="1"/>
    <w:next w:val="1"/>
    <w:autoRedefine/>
    <w:qFormat/>
    <w:uiPriority w:val="0"/>
    <w:pPr>
      <w:widowControl/>
      <w:ind w:firstLine="420"/>
    </w:pPr>
    <w:rPr>
      <w:color w:val="000000"/>
    </w:rPr>
  </w:style>
  <w:style w:type="paragraph" w:customStyle="1" w:styleId="79">
    <w:name w:val="Char Char Char Char Char Char"/>
    <w:basedOn w:val="1"/>
    <w:autoRedefine/>
    <w:qFormat/>
    <w:uiPriority w:val="0"/>
    <w:rPr>
      <w:rFonts w:ascii="Tahoma" w:hAnsi="Tahoma"/>
      <w:sz w:val="24"/>
    </w:rPr>
  </w:style>
  <w:style w:type="paragraph" w:customStyle="1" w:styleId="80">
    <w:name w:val="_Style 2"/>
    <w:basedOn w:val="1"/>
    <w:autoRedefine/>
    <w:qFormat/>
    <w:uiPriority w:val="0"/>
    <w:pPr>
      <w:spacing w:after="160" w:line="259" w:lineRule="auto"/>
      <w:ind w:firstLine="200" w:firstLineChars="200"/>
    </w:pPr>
    <w:rPr>
      <w:rFonts w:ascii="Calibri" w:hAnsi="Calibri"/>
      <w:sz w:val="18"/>
      <w:szCs w:val="18"/>
    </w:rPr>
  </w:style>
  <w:style w:type="paragraph" w:customStyle="1" w:styleId="81">
    <w:name w:val="修订2"/>
    <w:autoRedefine/>
    <w:hidden/>
    <w:semiHidden/>
    <w:qFormat/>
    <w:uiPriority w:val="99"/>
    <w:rPr>
      <w:rFonts w:ascii="宋体" w:hAnsi="Times New Roman" w:eastAsia="宋体" w:cs="Times New Roman"/>
      <w:sz w:val="34"/>
      <w:lang w:val="en-US" w:eastAsia="zh-CN" w:bidi="ar-SA"/>
    </w:rPr>
  </w:style>
  <w:style w:type="paragraph" w:customStyle="1" w:styleId="82">
    <w:name w:val="修订3"/>
    <w:autoRedefine/>
    <w:hidden/>
    <w:unhideWhenUsed/>
    <w:qFormat/>
    <w:uiPriority w:val="99"/>
    <w:rPr>
      <w:rFonts w:ascii="宋体" w:hAnsi="Times New Roman" w:eastAsia="宋体" w:cs="Times New Roman"/>
      <w:sz w:val="34"/>
      <w:lang w:val="en-US" w:eastAsia="zh-CN" w:bidi="ar-SA"/>
    </w:rPr>
  </w:style>
  <w:style w:type="paragraph" w:customStyle="1" w:styleId="83">
    <w:name w:val="修订4"/>
    <w:autoRedefine/>
    <w:hidden/>
    <w:unhideWhenUsed/>
    <w:qFormat/>
    <w:uiPriority w:val="99"/>
    <w:rPr>
      <w:rFonts w:ascii="宋体" w:hAnsi="Times New Roman" w:eastAsia="宋体" w:cs="Times New Roman"/>
      <w:sz w:val="34"/>
      <w:lang w:val="en-US" w:eastAsia="zh-CN" w:bidi="ar-SA"/>
    </w:rPr>
  </w:style>
  <w:style w:type="paragraph" w:customStyle="1" w:styleId="84">
    <w:name w:val="Table Paragraph"/>
    <w:basedOn w:val="1"/>
    <w:autoRedefine/>
    <w:qFormat/>
    <w:uiPriority w:val="0"/>
    <w:pPr>
      <w:autoSpaceDE w:val="0"/>
      <w:autoSpaceDN w:val="0"/>
      <w:adjustRightInd w:val="0"/>
      <w:jc w:val="left"/>
    </w:pPr>
    <w:rPr>
      <w:rFonts w:ascii="Times New Roman"/>
      <w:sz w:val="24"/>
      <w:szCs w:val="24"/>
    </w:rPr>
  </w:style>
  <w:style w:type="table" w:customStyle="1" w:styleId="85">
    <w:name w:val="Table Normal"/>
    <w:autoRedefine/>
    <w:unhideWhenUsed/>
    <w:qFormat/>
    <w:uiPriority w:val="0"/>
    <w:tblPr>
      <w:tblCellMar>
        <w:top w:w="0" w:type="dxa"/>
        <w:left w:w="0" w:type="dxa"/>
        <w:bottom w:w="0" w:type="dxa"/>
        <w:right w:w="0" w:type="dxa"/>
      </w:tblCellMar>
    </w:tblPr>
  </w:style>
  <w:style w:type="paragraph" w:customStyle="1" w:styleId="86">
    <w:name w:val="Revision"/>
    <w:autoRedefine/>
    <w:hidden/>
    <w:unhideWhenUsed/>
    <w:qFormat/>
    <w:uiPriority w:val="99"/>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37</Pages>
  <Words>2440</Words>
  <Characters>13912</Characters>
  <Lines>115</Lines>
  <Paragraphs>32</Paragraphs>
  <TotalTime>17</TotalTime>
  <ScaleCrop>false</ScaleCrop>
  <LinksUpToDate>false</LinksUpToDate>
  <CharactersWithSpaces>16320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2024-01-08T02:42:00Z</dcterms:created>
  <dc:creator>USER</dc:creator>
  <cp:lastModifiedBy>     Innocenceღ</cp:lastModifiedBy>
  <cp:lastPrinted>2023-12-06T06:23:00Z</cp:lastPrinted>
  <dcterms:modified xsi:type="dcterms:W3CDTF">2024-01-29T06:07:58Z</dcterms:modified>
  <dc:title>省财政厅关于印发四川省政府采购通用货物和服务招标文件范本的通知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928C5FC7C8994B7584914CCA1A225A10_13</vt:lpwstr>
  </property>
</Properties>
</file>